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504" w:rsidRPr="005B5485" w:rsidRDefault="00A445D6" w:rsidP="00B06504">
      <w:pPr>
        <w:autoSpaceDE/>
        <w:autoSpaceDN/>
        <w:adjustRightInd/>
        <w:spacing w:after="0"/>
        <w:jc w:val="left"/>
        <w:rPr>
          <w:rFonts w:cs="Arial"/>
          <w:highlight w:val="yellow"/>
        </w:rPr>
        <w:sectPr w:rsidR="00B06504" w:rsidRPr="005B5485" w:rsidSect="00B06504">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bookmarkStart w:id="0" w:name="_GoBack"/>
      <w:bookmarkEnd w:id="0"/>
      <w:r w:rsidRPr="005B5485">
        <w:rPr>
          <w:rFonts w:cs="Arial"/>
          <w:noProof/>
          <w:highlight w:val="yellow"/>
          <w:lang w:eastAsia="en-GB"/>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5869940</wp:posOffset>
                </wp:positionV>
                <wp:extent cx="6640195" cy="2476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1CA" w:rsidRDefault="009E0214" w:rsidP="00B06504">
                            <w:pPr>
                              <w:spacing w:after="0"/>
                              <w:ind w:right="-46"/>
                              <w:jc w:val="left"/>
                              <w:rPr>
                                <w:rFonts w:cs="Arial"/>
                                <w:b/>
                                <w:bCs/>
                                <w:sz w:val="52"/>
                                <w:szCs w:val="52"/>
                              </w:rPr>
                            </w:pPr>
                          </w:p>
                          <w:p w:rsidR="006211CA" w:rsidRDefault="00A445D6" w:rsidP="00B06504">
                            <w:pPr>
                              <w:spacing w:after="0"/>
                              <w:ind w:right="-46"/>
                              <w:jc w:val="left"/>
                              <w:rPr>
                                <w:rFonts w:cs="Arial"/>
                                <w:b/>
                                <w:bCs/>
                                <w:sz w:val="52"/>
                                <w:szCs w:val="52"/>
                              </w:rPr>
                            </w:pPr>
                            <w:r>
                              <w:rPr>
                                <w:rFonts w:cs="Arial"/>
                                <w:b/>
                                <w:bCs/>
                                <w:sz w:val="52"/>
                                <w:szCs w:val="52"/>
                              </w:rPr>
                              <w:t>Money Matters</w:t>
                            </w:r>
                          </w:p>
                          <w:p w:rsidR="006211CA" w:rsidRDefault="00A445D6" w:rsidP="00B06504">
                            <w:pPr>
                              <w:spacing w:after="0"/>
                              <w:ind w:right="-46"/>
                              <w:jc w:val="left"/>
                              <w:rPr>
                                <w:rFonts w:cs="Arial"/>
                                <w:b/>
                                <w:bCs/>
                                <w:sz w:val="52"/>
                                <w:szCs w:val="52"/>
                              </w:rPr>
                            </w:pPr>
                            <w:r>
                              <w:rPr>
                                <w:rFonts w:cs="Arial"/>
                                <w:b/>
                                <w:bCs/>
                                <w:sz w:val="52"/>
                                <w:szCs w:val="52"/>
                              </w:rPr>
                              <w:t>Financial Outlook for the County Council</w:t>
                            </w:r>
                          </w:p>
                          <w:p w:rsidR="006211CA" w:rsidRDefault="00A445D6" w:rsidP="00B06504">
                            <w:pPr>
                              <w:spacing w:after="0"/>
                              <w:ind w:right="-46"/>
                              <w:jc w:val="left"/>
                              <w:rPr>
                                <w:rFonts w:cs="Arial"/>
                                <w:b/>
                                <w:bCs/>
                                <w:sz w:val="52"/>
                                <w:szCs w:val="52"/>
                              </w:rPr>
                            </w:pPr>
                            <w:r>
                              <w:rPr>
                                <w:rFonts w:cs="Arial"/>
                                <w:b/>
                                <w:bCs/>
                                <w:sz w:val="52"/>
                                <w:szCs w:val="52"/>
                              </w:rPr>
                              <w:t>Medium Term Financial Strategy &amp; Reserves as at 31</w:t>
                            </w:r>
                            <w:r w:rsidRPr="006C2D02">
                              <w:rPr>
                                <w:rFonts w:cs="Arial"/>
                                <w:b/>
                                <w:bCs/>
                                <w:sz w:val="52"/>
                                <w:szCs w:val="52"/>
                                <w:vertAlign w:val="superscript"/>
                              </w:rPr>
                              <w:t>st</w:t>
                            </w:r>
                            <w:r>
                              <w:rPr>
                                <w:rFonts w:cs="Arial"/>
                                <w:b/>
                                <w:bCs/>
                                <w:sz w:val="52"/>
                                <w:szCs w:val="52"/>
                              </w:rPr>
                              <w:t xml:space="preserve"> December 2018</w:t>
                            </w:r>
                          </w:p>
                          <w:p w:rsidR="006211CA" w:rsidRPr="0037393E" w:rsidRDefault="009E0214" w:rsidP="00B06504">
                            <w:pPr>
                              <w:spacing w:after="0"/>
                              <w:ind w:right="-46"/>
                              <w:jc w:val="left"/>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8pt;margin-top:462.2pt;width:522.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" filled="f" stroked="f">
                <v:textbox>
                  <w:txbxContent>
                    <w:p w:rsidR="006211CA" w:rsidRDefault="009E0214" w:rsidP="00B06504">
                      <w:pPr>
                        <w:spacing w:after="0"/>
                        <w:ind w:right="-46"/>
                        <w:jc w:val="left"/>
                        <w:rPr>
                          <w:rFonts w:cs="Arial"/>
                          <w:b/>
                          <w:bCs/>
                          <w:sz w:val="52"/>
                          <w:szCs w:val="52"/>
                        </w:rPr>
                      </w:pPr>
                    </w:p>
                    <w:p w:rsidR="006211CA" w:rsidRDefault="00A445D6" w:rsidP="00B06504">
                      <w:pPr>
                        <w:spacing w:after="0"/>
                        <w:ind w:right="-46"/>
                        <w:jc w:val="left"/>
                        <w:rPr>
                          <w:rFonts w:cs="Arial"/>
                          <w:b/>
                          <w:bCs/>
                          <w:sz w:val="52"/>
                          <w:szCs w:val="52"/>
                        </w:rPr>
                      </w:pPr>
                      <w:r>
                        <w:rPr>
                          <w:rFonts w:cs="Arial"/>
                          <w:b/>
                          <w:bCs/>
                          <w:sz w:val="52"/>
                          <w:szCs w:val="52"/>
                        </w:rPr>
                        <w:t>Money Matters</w:t>
                      </w:r>
                    </w:p>
                    <w:p w:rsidR="006211CA" w:rsidRDefault="00A445D6" w:rsidP="00B06504">
                      <w:pPr>
                        <w:spacing w:after="0"/>
                        <w:ind w:right="-46"/>
                        <w:jc w:val="left"/>
                        <w:rPr>
                          <w:rFonts w:cs="Arial"/>
                          <w:b/>
                          <w:bCs/>
                          <w:sz w:val="52"/>
                          <w:szCs w:val="52"/>
                        </w:rPr>
                      </w:pPr>
                      <w:r>
                        <w:rPr>
                          <w:rFonts w:cs="Arial"/>
                          <w:b/>
                          <w:bCs/>
                          <w:sz w:val="52"/>
                          <w:szCs w:val="52"/>
                        </w:rPr>
                        <w:t>Financial Outlook for the County Council</w:t>
                      </w:r>
                    </w:p>
                    <w:p w:rsidR="006211CA" w:rsidRDefault="00A445D6" w:rsidP="00B06504">
                      <w:pPr>
                        <w:spacing w:after="0"/>
                        <w:ind w:right="-46"/>
                        <w:jc w:val="left"/>
                        <w:rPr>
                          <w:rFonts w:cs="Arial"/>
                          <w:b/>
                          <w:bCs/>
                          <w:sz w:val="52"/>
                          <w:szCs w:val="52"/>
                        </w:rPr>
                      </w:pPr>
                      <w:r>
                        <w:rPr>
                          <w:rFonts w:cs="Arial"/>
                          <w:b/>
                          <w:bCs/>
                          <w:sz w:val="52"/>
                          <w:szCs w:val="52"/>
                        </w:rPr>
                        <w:t>Medium Term Financial Strategy &amp; Reserves as at 31</w:t>
                      </w:r>
                      <w:r w:rsidRPr="006C2D02">
                        <w:rPr>
                          <w:rFonts w:cs="Arial"/>
                          <w:b/>
                          <w:bCs/>
                          <w:sz w:val="52"/>
                          <w:szCs w:val="52"/>
                          <w:vertAlign w:val="superscript"/>
                        </w:rPr>
                        <w:t>st</w:t>
                      </w:r>
                      <w:r>
                        <w:rPr>
                          <w:rFonts w:cs="Arial"/>
                          <w:b/>
                          <w:bCs/>
                          <w:sz w:val="52"/>
                          <w:szCs w:val="52"/>
                        </w:rPr>
                        <w:t xml:space="preserve"> December 2018</w:t>
                      </w:r>
                    </w:p>
                    <w:p w:rsidR="006211CA" w:rsidRPr="0037393E" w:rsidRDefault="009E0214" w:rsidP="00B06504">
                      <w:pPr>
                        <w:spacing w:after="0"/>
                        <w:ind w:right="-46"/>
                        <w:jc w:val="left"/>
                        <w:rPr>
                          <w:rFonts w:cs="Arial"/>
                          <w:b/>
                          <w:bCs/>
                          <w:sz w:val="52"/>
                          <w:szCs w:val="52"/>
                        </w:rPr>
                      </w:pPr>
                    </w:p>
                  </w:txbxContent>
                </v:textbox>
              </v:shape>
            </w:pict>
          </mc:Fallback>
        </mc:AlternateContent>
      </w:r>
    </w:p>
    <w:tbl>
      <w:tblPr>
        <w:tblStyle w:val="TableGrid"/>
        <w:tblW w:w="0" w:type="auto"/>
        <w:tblLook w:val="04A0" w:firstRow="1" w:lastRow="0" w:firstColumn="1" w:lastColumn="0" w:noHBand="0" w:noVBand="1"/>
      </w:tblPr>
      <w:tblGrid>
        <w:gridCol w:w="562"/>
        <w:gridCol w:w="5437"/>
        <w:gridCol w:w="3017"/>
      </w:tblGrid>
      <w:tr w:rsidR="00F0025F" w:rsidTr="00C25BB7">
        <w:trPr>
          <w:trHeight w:val="699"/>
        </w:trPr>
        <w:tc>
          <w:tcPr>
            <w:tcW w:w="562" w:type="dxa"/>
            <w:vAlign w:val="center"/>
          </w:tcPr>
          <w:p w:rsidR="00B06504" w:rsidRPr="005B5485" w:rsidRDefault="009E0214" w:rsidP="00B06504">
            <w:pPr>
              <w:spacing w:after="0"/>
              <w:ind w:right="-46"/>
              <w:jc w:val="center"/>
              <w:rPr>
                <w:rFonts w:cs="Arial"/>
                <w:b/>
                <w:bCs/>
                <w:highlight w:val="yellow"/>
              </w:rPr>
            </w:pPr>
          </w:p>
        </w:tc>
        <w:tc>
          <w:tcPr>
            <w:tcW w:w="5437" w:type="dxa"/>
            <w:vAlign w:val="center"/>
          </w:tcPr>
          <w:p w:rsidR="00B06504" w:rsidRPr="006C2D02" w:rsidRDefault="00A445D6" w:rsidP="00B06504">
            <w:pPr>
              <w:spacing w:after="0"/>
              <w:ind w:right="-46"/>
              <w:jc w:val="center"/>
              <w:rPr>
                <w:rFonts w:cs="Arial"/>
                <w:b/>
                <w:bCs/>
              </w:rPr>
            </w:pPr>
            <w:r w:rsidRPr="006C2D02">
              <w:rPr>
                <w:rFonts w:cs="Arial"/>
                <w:b/>
                <w:bCs/>
              </w:rPr>
              <w:t>Contents</w:t>
            </w:r>
          </w:p>
        </w:tc>
        <w:tc>
          <w:tcPr>
            <w:tcW w:w="3017" w:type="dxa"/>
            <w:shd w:val="clear" w:color="auto" w:fill="auto"/>
            <w:vAlign w:val="center"/>
          </w:tcPr>
          <w:p w:rsidR="00B06504" w:rsidRPr="006C2D02" w:rsidRDefault="00A445D6" w:rsidP="00B06504">
            <w:pPr>
              <w:spacing w:after="0"/>
              <w:ind w:right="-46"/>
              <w:jc w:val="center"/>
              <w:rPr>
                <w:rFonts w:cs="Arial"/>
                <w:b/>
                <w:bCs/>
              </w:rPr>
            </w:pPr>
            <w:r w:rsidRPr="006C2D02">
              <w:rPr>
                <w:rFonts w:cs="Arial"/>
                <w:b/>
                <w:bCs/>
              </w:rPr>
              <w:t>Page</w:t>
            </w:r>
          </w:p>
        </w:tc>
      </w:tr>
      <w:tr w:rsidR="00F0025F" w:rsidTr="00B06504">
        <w:tc>
          <w:tcPr>
            <w:tcW w:w="562" w:type="dxa"/>
            <w:vAlign w:val="center"/>
          </w:tcPr>
          <w:p w:rsidR="00B06504" w:rsidRPr="006C2D02" w:rsidRDefault="00A445D6" w:rsidP="00B06504">
            <w:pPr>
              <w:spacing w:after="0"/>
              <w:ind w:right="-46"/>
              <w:jc w:val="center"/>
              <w:rPr>
                <w:rFonts w:cs="Arial"/>
                <w:b/>
                <w:bCs/>
              </w:rPr>
            </w:pPr>
            <w:r w:rsidRPr="006C2D02">
              <w:rPr>
                <w:rFonts w:cs="Arial"/>
                <w:b/>
                <w:bCs/>
              </w:rPr>
              <w:t>1</w:t>
            </w:r>
          </w:p>
        </w:tc>
        <w:tc>
          <w:tcPr>
            <w:tcW w:w="5437" w:type="dxa"/>
            <w:vAlign w:val="center"/>
          </w:tcPr>
          <w:p w:rsidR="00B06504" w:rsidRPr="006C2D02" w:rsidRDefault="009E0214" w:rsidP="00B06504">
            <w:pPr>
              <w:spacing w:after="0"/>
              <w:ind w:right="-46"/>
              <w:rPr>
                <w:rFonts w:cs="Arial"/>
                <w:b/>
                <w:bCs/>
              </w:rPr>
            </w:pPr>
          </w:p>
          <w:p w:rsidR="00B06504" w:rsidRPr="006C2D02" w:rsidRDefault="00A445D6" w:rsidP="00B06504">
            <w:pPr>
              <w:spacing w:after="0"/>
              <w:ind w:right="-46"/>
              <w:rPr>
                <w:rFonts w:cs="Arial"/>
                <w:b/>
                <w:bCs/>
              </w:rPr>
            </w:pPr>
            <w:r w:rsidRPr="006C2D02">
              <w:rPr>
                <w:rFonts w:cs="Arial"/>
                <w:b/>
                <w:bCs/>
              </w:rPr>
              <w:t>Executive Summary</w:t>
            </w:r>
          </w:p>
          <w:p w:rsidR="00B06504" w:rsidRPr="006C2D02" w:rsidRDefault="009E0214" w:rsidP="00B06504">
            <w:pPr>
              <w:spacing w:after="0"/>
              <w:ind w:right="-46"/>
              <w:rPr>
                <w:rFonts w:cs="Arial"/>
                <w:b/>
                <w:bCs/>
              </w:rPr>
            </w:pPr>
          </w:p>
        </w:tc>
        <w:tc>
          <w:tcPr>
            <w:tcW w:w="3017" w:type="dxa"/>
            <w:vAlign w:val="center"/>
          </w:tcPr>
          <w:p w:rsidR="00B06504" w:rsidRPr="002C3234" w:rsidRDefault="00A445D6" w:rsidP="00B06504">
            <w:pPr>
              <w:spacing w:after="0"/>
              <w:ind w:right="-46"/>
              <w:jc w:val="center"/>
              <w:rPr>
                <w:rFonts w:cs="Arial"/>
                <w:b/>
                <w:bCs/>
              </w:rPr>
            </w:pPr>
            <w:r w:rsidRPr="002C3234">
              <w:rPr>
                <w:rFonts w:cs="Arial"/>
                <w:b/>
                <w:bCs/>
              </w:rPr>
              <w:t>3</w:t>
            </w:r>
          </w:p>
        </w:tc>
      </w:tr>
      <w:tr w:rsidR="00F0025F" w:rsidTr="00B06504">
        <w:tc>
          <w:tcPr>
            <w:tcW w:w="562" w:type="dxa"/>
            <w:vAlign w:val="center"/>
          </w:tcPr>
          <w:p w:rsidR="00B06504" w:rsidRPr="006C2D02" w:rsidRDefault="00A445D6" w:rsidP="00B06504">
            <w:pPr>
              <w:spacing w:after="0"/>
              <w:ind w:right="-46"/>
              <w:jc w:val="center"/>
              <w:rPr>
                <w:rFonts w:cs="Arial"/>
                <w:b/>
                <w:bCs/>
              </w:rPr>
            </w:pPr>
            <w:r w:rsidRPr="006C2D02">
              <w:rPr>
                <w:rFonts w:cs="Arial"/>
                <w:b/>
                <w:bCs/>
              </w:rPr>
              <w:t>2</w:t>
            </w:r>
          </w:p>
        </w:tc>
        <w:tc>
          <w:tcPr>
            <w:tcW w:w="5437" w:type="dxa"/>
            <w:vAlign w:val="center"/>
          </w:tcPr>
          <w:p w:rsidR="00B06504" w:rsidRPr="006C2D02" w:rsidRDefault="009E0214" w:rsidP="00B06504">
            <w:pPr>
              <w:spacing w:after="0"/>
              <w:ind w:right="-46"/>
              <w:rPr>
                <w:rFonts w:cs="Arial"/>
                <w:b/>
                <w:bCs/>
              </w:rPr>
            </w:pPr>
          </w:p>
          <w:p w:rsidR="00B06504" w:rsidRPr="006C2D02" w:rsidRDefault="00A445D6" w:rsidP="00B06504">
            <w:pPr>
              <w:spacing w:after="0"/>
              <w:ind w:right="-46"/>
              <w:rPr>
                <w:rFonts w:cs="Arial"/>
                <w:b/>
                <w:bCs/>
              </w:rPr>
            </w:pPr>
            <w:r w:rsidRPr="006C2D02">
              <w:rPr>
                <w:rFonts w:cs="Arial"/>
                <w:b/>
                <w:bCs/>
              </w:rPr>
              <w:t>Funding</w:t>
            </w:r>
          </w:p>
          <w:p w:rsidR="00B06504" w:rsidRPr="006C2D02" w:rsidRDefault="009E0214" w:rsidP="00B06504">
            <w:pPr>
              <w:spacing w:after="0"/>
              <w:ind w:right="-46"/>
              <w:rPr>
                <w:rFonts w:cs="Arial"/>
                <w:b/>
                <w:bCs/>
              </w:rPr>
            </w:pPr>
          </w:p>
        </w:tc>
        <w:tc>
          <w:tcPr>
            <w:tcW w:w="3017" w:type="dxa"/>
            <w:vAlign w:val="center"/>
          </w:tcPr>
          <w:p w:rsidR="00B06504" w:rsidRPr="002C3234" w:rsidRDefault="00A445D6" w:rsidP="00B06504">
            <w:pPr>
              <w:spacing w:after="0"/>
              <w:ind w:right="-46"/>
              <w:jc w:val="center"/>
              <w:rPr>
                <w:rFonts w:cs="Arial"/>
                <w:b/>
                <w:bCs/>
              </w:rPr>
            </w:pPr>
            <w:r w:rsidRPr="002C3234">
              <w:rPr>
                <w:rFonts w:cs="Arial"/>
                <w:b/>
                <w:bCs/>
              </w:rPr>
              <w:t>6</w:t>
            </w:r>
          </w:p>
        </w:tc>
      </w:tr>
      <w:tr w:rsidR="00F0025F" w:rsidTr="00B06504">
        <w:tc>
          <w:tcPr>
            <w:tcW w:w="562" w:type="dxa"/>
            <w:vAlign w:val="center"/>
          </w:tcPr>
          <w:p w:rsidR="00B06504" w:rsidRPr="006C2D02" w:rsidRDefault="00A445D6" w:rsidP="00B06504">
            <w:pPr>
              <w:spacing w:after="0"/>
              <w:ind w:right="-46"/>
              <w:jc w:val="center"/>
              <w:rPr>
                <w:rFonts w:cs="Arial"/>
                <w:b/>
                <w:bCs/>
              </w:rPr>
            </w:pPr>
            <w:r w:rsidRPr="006C2D02">
              <w:rPr>
                <w:rFonts w:cs="Arial"/>
                <w:b/>
                <w:bCs/>
              </w:rPr>
              <w:t>3</w:t>
            </w:r>
          </w:p>
        </w:tc>
        <w:tc>
          <w:tcPr>
            <w:tcW w:w="5437" w:type="dxa"/>
            <w:vAlign w:val="center"/>
          </w:tcPr>
          <w:p w:rsidR="00B06504" w:rsidRPr="006C2D02" w:rsidRDefault="009E0214" w:rsidP="00B06504">
            <w:pPr>
              <w:spacing w:after="0"/>
              <w:ind w:right="-46"/>
              <w:rPr>
                <w:rFonts w:cs="Arial"/>
                <w:b/>
                <w:bCs/>
              </w:rPr>
            </w:pPr>
          </w:p>
          <w:p w:rsidR="00B06504" w:rsidRPr="006C2D02" w:rsidRDefault="00A445D6" w:rsidP="00B06504">
            <w:pPr>
              <w:spacing w:after="0"/>
              <w:ind w:right="-46"/>
              <w:rPr>
                <w:rFonts w:cs="Arial"/>
                <w:b/>
                <w:bCs/>
              </w:rPr>
            </w:pPr>
            <w:r w:rsidRPr="006C2D02">
              <w:rPr>
                <w:rFonts w:cs="Arial"/>
                <w:b/>
                <w:bCs/>
              </w:rPr>
              <w:t xml:space="preserve">Net Budget Requirement </w:t>
            </w:r>
          </w:p>
          <w:p w:rsidR="00B06504" w:rsidRPr="006C2D02" w:rsidRDefault="009E0214" w:rsidP="00B06504">
            <w:pPr>
              <w:spacing w:after="0"/>
              <w:ind w:right="-46"/>
              <w:rPr>
                <w:rFonts w:cs="Arial"/>
                <w:b/>
                <w:bCs/>
              </w:rPr>
            </w:pPr>
          </w:p>
        </w:tc>
        <w:tc>
          <w:tcPr>
            <w:tcW w:w="3017" w:type="dxa"/>
            <w:vAlign w:val="center"/>
          </w:tcPr>
          <w:p w:rsidR="00B06504" w:rsidRPr="002C3234" w:rsidRDefault="00A445D6" w:rsidP="00B06504">
            <w:pPr>
              <w:spacing w:after="0"/>
              <w:ind w:right="-46"/>
              <w:jc w:val="center"/>
              <w:rPr>
                <w:rFonts w:cs="Arial"/>
                <w:b/>
                <w:bCs/>
              </w:rPr>
            </w:pPr>
            <w:r w:rsidRPr="002C3234">
              <w:rPr>
                <w:rFonts w:cs="Arial"/>
                <w:b/>
                <w:bCs/>
              </w:rPr>
              <w:t>10</w:t>
            </w:r>
          </w:p>
        </w:tc>
      </w:tr>
      <w:tr w:rsidR="00F0025F" w:rsidTr="00B06504">
        <w:tc>
          <w:tcPr>
            <w:tcW w:w="562" w:type="dxa"/>
            <w:vAlign w:val="center"/>
          </w:tcPr>
          <w:p w:rsidR="00B06504" w:rsidRPr="006C2D02" w:rsidRDefault="00A445D6" w:rsidP="00B06504">
            <w:pPr>
              <w:spacing w:after="0"/>
              <w:ind w:right="-46"/>
              <w:jc w:val="center"/>
              <w:rPr>
                <w:rFonts w:cs="Arial"/>
                <w:b/>
                <w:bCs/>
              </w:rPr>
            </w:pPr>
            <w:r w:rsidRPr="006C2D02">
              <w:rPr>
                <w:rFonts w:cs="Arial"/>
                <w:b/>
                <w:bCs/>
              </w:rPr>
              <w:t>4</w:t>
            </w:r>
          </w:p>
        </w:tc>
        <w:tc>
          <w:tcPr>
            <w:tcW w:w="5437" w:type="dxa"/>
            <w:vAlign w:val="center"/>
          </w:tcPr>
          <w:p w:rsidR="00B06504" w:rsidRPr="006C2D02" w:rsidRDefault="009E0214" w:rsidP="00B06504">
            <w:pPr>
              <w:spacing w:after="0"/>
              <w:ind w:right="-46"/>
              <w:rPr>
                <w:rFonts w:cs="Arial"/>
                <w:b/>
                <w:bCs/>
              </w:rPr>
            </w:pPr>
          </w:p>
          <w:p w:rsidR="00B06504" w:rsidRPr="006C2D02" w:rsidRDefault="00A445D6" w:rsidP="00B06504">
            <w:pPr>
              <w:spacing w:after="0"/>
              <w:ind w:right="-46"/>
              <w:rPr>
                <w:rFonts w:cs="Arial"/>
                <w:b/>
                <w:bCs/>
              </w:rPr>
            </w:pPr>
            <w:r w:rsidRPr="006C2D02">
              <w:rPr>
                <w:rFonts w:cs="Arial"/>
                <w:b/>
                <w:bCs/>
              </w:rPr>
              <w:t>Reserves</w:t>
            </w:r>
          </w:p>
          <w:p w:rsidR="00B06504" w:rsidRPr="006C2D02" w:rsidRDefault="009E0214" w:rsidP="00B06504">
            <w:pPr>
              <w:spacing w:after="0"/>
              <w:ind w:right="-46"/>
              <w:rPr>
                <w:rFonts w:cs="Arial"/>
                <w:b/>
                <w:bCs/>
              </w:rPr>
            </w:pPr>
          </w:p>
        </w:tc>
        <w:tc>
          <w:tcPr>
            <w:tcW w:w="3017" w:type="dxa"/>
            <w:vAlign w:val="center"/>
          </w:tcPr>
          <w:p w:rsidR="00B06504" w:rsidRPr="002C3234" w:rsidRDefault="00A445D6" w:rsidP="00B06504">
            <w:pPr>
              <w:spacing w:after="0"/>
              <w:ind w:right="-46"/>
              <w:jc w:val="center"/>
              <w:rPr>
                <w:rFonts w:cs="Arial"/>
                <w:b/>
                <w:bCs/>
              </w:rPr>
            </w:pPr>
            <w:r w:rsidRPr="002C3234">
              <w:rPr>
                <w:rFonts w:cs="Arial"/>
                <w:b/>
                <w:bCs/>
              </w:rPr>
              <w:t>14</w:t>
            </w:r>
          </w:p>
        </w:tc>
      </w:tr>
      <w:tr w:rsidR="00F0025F" w:rsidTr="00B06504">
        <w:tc>
          <w:tcPr>
            <w:tcW w:w="562" w:type="dxa"/>
            <w:vAlign w:val="center"/>
          </w:tcPr>
          <w:p w:rsidR="00B06504" w:rsidRPr="006C2D02" w:rsidRDefault="009E0214" w:rsidP="00B06504">
            <w:pPr>
              <w:spacing w:after="0"/>
              <w:ind w:right="-46"/>
              <w:jc w:val="center"/>
              <w:rPr>
                <w:rFonts w:cs="Arial"/>
                <w:b/>
                <w:bCs/>
              </w:rPr>
            </w:pPr>
          </w:p>
          <w:p w:rsidR="00B06504" w:rsidRPr="006C2D02" w:rsidRDefault="00A445D6" w:rsidP="00B06504">
            <w:pPr>
              <w:spacing w:after="0"/>
              <w:ind w:right="-46"/>
              <w:jc w:val="center"/>
              <w:rPr>
                <w:rFonts w:cs="Arial"/>
                <w:b/>
                <w:bCs/>
              </w:rPr>
            </w:pPr>
            <w:r w:rsidRPr="006C2D02">
              <w:rPr>
                <w:rFonts w:cs="Arial"/>
                <w:b/>
                <w:bCs/>
              </w:rPr>
              <w:t>5</w:t>
            </w:r>
          </w:p>
          <w:p w:rsidR="00B06504" w:rsidRPr="006C2D02" w:rsidRDefault="009E0214" w:rsidP="00B06504">
            <w:pPr>
              <w:spacing w:after="0"/>
              <w:ind w:right="-46"/>
              <w:jc w:val="center"/>
              <w:rPr>
                <w:rFonts w:cs="Arial"/>
                <w:b/>
                <w:bCs/>
              </w:rPr>
            </w:pPr>
          </w:p>
        </w:tc>
        <w:tc>
          <w:tcPr>
            <w:tcW w:w="5437" w:type="dxa"/>
            <w:vAlign w:val="center"/>
          </w:tcPr>
          <w:p w:rsidR="00B06504" w:rsidRPr="006C2D02" w:rsidRDefault="00A445D6" w:rsidP="00B06504">
            <w:pPr>
              <w:spacing w:after="0"/>
              <w:ind w:right="-46"/>
              <w:rPr>
                <w:rFonts w:cs="Arial"/>
                <w:b/>
                <w:bCs/>
              </w:rPr>
            </w:pPr>
            <w:r w:rsidRPr="006C2D02">
              <w:rPr>
                <w:rFonts w:cs="Arial"/>
                <w:b/>
                <w:bCs/>
              </w:rPr>
              <w:t>Future Risks and Opportunities</w:t>
            </w:r>
          </w:p>
        </w:tc>
        <w:tc>
          <w:tcPr>
            <w:tcW w:w="3017" w:type="dxa"/>
            <w:vAlign w:val="center"/>
          </w:tcPr>
          <w:p w:rsidR="00B06504" w:rsidRPr="002C3234" w:rsidRDefault="00A445D6" w:rsidP="00B06504">
            <w:pPr>
              <w:spacing w:after="0"/>
              <w:ind w:right="-46"/>
              <w:jc w:val="center"/>
              <w:rPr>
                <w:rFonts w:cs="Arial"/>
                <w:b/>
                <w:bCs/>
              </w:rPr>
            </w:pPr>
            <w:r w:rsidRPr="002C3234">
              <w:rPr>
                <w:rFonts w:cs="Arial"/>
                <w:b/>
                <w:bCs/>
              </w:rPr>
              <w:t>16</w:t>
            </w:r>
          </w:p>
        </w:tc>
      </w:tr>
    </w:tbl>
    <w:p w:rsidR="00B06504" w:rsidRPr="005B5485" w:rsidRDefault="009E0214" w:rsidP="00B06504">
      <w:pPr>
        <w:spacing w:after="0"/>
        <w:ind w:right="-46"/>
        <w:rPr>
          <w:rFonts w:cs="Arial"/>
          <w:b/>
          <w:bCs/>
          <w:highlight w:val="yellow"/>
        </w:rPr>
      </w:pPr>
    </w:p>
    <w:p w:rsidR="00B06504" w:rsidRPr="005B5485" w:rsidRDefault="00A445D6">
      <w:pPr>
        <w:autoSpaceDE/>
        <w:autoSpaceDN/>
        <w:adjustRightInd/>
        <w:spacing w:after="0"/>
        <w:jc w:val="left"/>
        <w:rPr>
          <w:rFonts w:cs="Arial"/>
          <w:b/>
          <w:highlight w:val="yellow"/>
        </w:rPr>
      </w:pPr>
      <w:r w:rsidRPr="005B5485">
        <w:rPr>
          <w:rFonts w:cs="Arial"/>
          <w:b/>
          <w:highlight w:val="yellow"/>
        </w:rPr>
        <w:br w:type="page"/>
      </w:r>
    </w:p>
    <w:p w:rsidR="00B06504" w:rsidRPr="008036A2" w:rsidRDefault="00A445D6" w:rsidP="008036A2">
      <w:pPr>
        <w:pStyle w:val="ListParagraph"/>
        <w:numPr>
          <w:ilvl w:val="0"/>
          <w:numId w:val="25"/>
        </w:numPr>
        <w:spacing w:after="0"/>
        <w:ind w:left="567" w:hanging="567"/>
        <w:rPr>
          <w:rFonts w:cs="Arial"/>
          <w:b/>
        </w:rPr>
      </w:pPr>
      <w:r w:rsidRPr="006C2D02">
        <w:rPr>
          <w:rFonts w:cs="Arial"/>
          <w:b/>
        </w:rPr>
        <w:t>Executive Summary</w:t>
      </w:r>
    </w:p>
    <w:p w:rsidR="00B06504" w:rsidRPr="005B5485" w:rsidRDefault="00A445D6" w:rsidP="00B06504">
      <w:pPr>
        <w:tabs>
          <w:tab w:val="left" w:pos="567"/>
          <w:tab w:val="left" w:pos="1134"/>
        </w:tabs>
        <w:spacing w:after="0"/>
        <w:rPr>
          <w:rFonts w:cs="Arial"/>
          <w:highlight w:val="yellow"/>
        </w:rPr>
      </w:pPr>
      <w:r w:rsidRPr="006C2D02">
        <w:rPr>
          <w:rFonts w:cs="Arial"/>
        </w:rPr>
        <w:t xml:space="preserve">At cabinet in December 2018 the medium term financial strategy (MTFS) set out a forecast funding gap of £46.090m by the end of the 4 year period (2019/20 – 2022/23). This report provides an updated position for the 4 year period covering 2019/20 - 2022/23 and a review of assumptions to reflect the most current information available. </w:t>
      </w:r>
    </w:p>
    <w:p w:rsidR="00351DE9" w:rsidRPr="005B5485" w:rsidRDefault="009E0214" w:rsidP="00D04B72">
      <w:pPr>
        <w:tabs>
          <w:tab w:val="left" w:pos="567"/>
          <w:tab w:val="left" w:pos="1134"/>
        </w:tabs>
        <w:spacing w:after="0"/>
        <w:rPr>
          <w:rFonts w:cs="Arial"/>
          <w:highlight w:val="yellow"/>
        </w:rPr>
      </w:pPr>
    </w:p>
    <w:p w:rsidR="00FF3EAF" w:rsidRDefault="00A445D6" w:rsidP="00D04B72">
      <w:pPr>
        <w:tabs>
          <w:tab w:val="left" w:pos="567"/>
          <w:tab w:val="left" w:pos="1134"/>
        </w:tabs>
        <w:spacing w:after="0"/>
        <w:rPr>
          <w:rFonts w:cs="Arial"/>
        </w:rPr>
      </w:pPr>
      <w:r w:rsidRPr="006C2D02">
        <w:rPr>
          <w:rFonts w:cs="Arial"/>
        </w:rPr>
        <w:t xml:space="preserve">The updated funding gap </w:t>
      </w:r>
      <w:r w:rsidRPr="0054476B">
        <w:rPr>
          <w:rFonts w:cs="Arial"/>
        </w:rPr>
        <w:t>contained within the report has slightly increased to £</w:t>
      </w:r>
      <w:r>
        <w:rPr>
          <w:rFonts w:cs="Arial"/>
        </w:rPr>
        <w:t>47.209</w:t>
      </w:r>
      <w:r w:rsidRPr="0032111E">
        <w:rPr>
          <w:rFonts w:cs="Arial"/>
        </w:rPr>
        <w:t>m by 2022/23</w:t>
      </w:r>
      <w:r>
        <w:rPr>
          <w:rFonts w:cs="Arial"/>
        </w:rPr>
        <w:t xml:space="preserve">, however a reduced budget </w:t>
      </w:r>
      <w:r w:rsidRPr="0032111E">
        <w:rPr>
          <w:rFonts w:cs="Arial"/>
        </w:rPr>
        <w:t xml:space="preserve">gap </w:t>
      </w:r>
      <w:r>
        <w:rPr>
          <w:rFonts w:cs="Arial"/>
        </w:rPr>
        <w:t xml:space="preserve">is forecast for 2019/20 of </w:t>
      </w:r>
      <w:r w:rsidRPr="0032111E">
        <w:rPr>
          <w:rFonts w:cs="Arial"/>
        </w:rPr>
        <w:t>£</w:t>
      </w:r>
      <w:r>
        <w:rPr>
          <w:rFonts w:cs="Arial"/>
        </w:rPr>
        <w:t>13.446</w:t>
      </w:r>
      <w:r w:rsidRPr="0032111E">
        <w:rPr>
          <w:rFonts w:cs="Arial"/>
        </w:rPr>
        <w:t xml:space="preserve">m.  This position includes </w:t>
      </w:r>
      <w:r>
        <w:rPr>
          <w:rFonts w:cs="Arial"/>
        </w:rPr>
        <w:t>a</w:t>
      </w:r>
      <w:r w:rsidRPr="0032111E">
        <w:rPr>
          <w:rFonts w:cs="Arial"/>
        </w:rPr>
        <w:t xml:space="preserve">dditional costs relating to transport that are offset by some additional income and reduced demand requirements within the waste services budget. </w:t>
      </w:r>
      <w:r>
        <w:rPr>
          <w:rFonts w:cs="Arial"/>
        </w:rPr>
        <w:t xml:space="preserve">The position in 2019/20 is improved by one-off additional business rates levy income of £2.860m. </w:t>
      </w:r>
    </w:p>
    <w:p w:rsidR="00FF3EAF" w:rsidRDefault="009E0214" w:rsidP="00D04B72">
      <w:pPr>
        <w:tabs>
          <w:tab w:val="left" w:pos="567"/>
          <w:tab w:val="left" w:pos="1134"/>
        </w:tabs>
        <w:spacing w:after="0"/>
        <w:rPr>
          <w:rFonts w:cs="Arial"/>
        </w:rPr>
      </w:pPr>
    </w:p>
    <w:p w:rsidR="006211CA" w:rsidRDefault="00A445D6" w:rsidP="00D04B72">
      <w:pPr>
        <w:tabs>
          <w:tab w:val="left" w:pos="567"/>
          <w:tab w:val="left" w:pos="1134"/>
        </w:tabs>
        <w:spacing w:after="0"/>
        <w:rPr>
          <w:rFonts w:cs="Arial"/>
        </w:rPr>
      </w:pPr>
      <w:r w:rsidRPr="0032111E">
        <w:rPr>
          <w:rFonts w:cs="Arial"/>
        </w:rPr>
        <w:t xml:space="preserve">The financial </w:t>
      </w:r>
      <w:r>
        <w:rPr>
          <w:rFonts w:cs="Arial"/>
        </w:rPr>
        <w:t xml:space="preserve">gap includes </w:t>
      </w:r>
      <w:r w:rsidRPr="0032111E">
        <w:rPr>
          <w:rFonts w:cs="Arial"/>
        </w:rPr>
        <w:t xml:space="preserve">the impact of service challenge savings that were agreed at December </w:t>
      </w:r>
      <w:r w:rsidR="001F4E9D">
        <w:rPr>
          <w:rFonts w:cs="Arial"/>
        </w:rPr>
        <w:t>c</w:t>
      </w:r>
      <w:r w:rsidRPr="0032111E">
        <w:rPr>
          <w:rFonts w:cs="Arial"/>
        </w:rPr>
        <w:t xml:space="preserve">abinet totalling c£77m. </w:t>
      </w:r>
      <w:r>
        <w:rPr>
          <w:rFonts w:cs="Arial"/>
        </w:rPr>
        <w:t>£7.566m of the savings proposals are subject to the outcome of specific consultations that are needing to be undertaken.  Following th</w:t>
      </w:r>
      <w:r w:rsidR="001F4E9D">
        <w:rPr>
          <w:rFonts w:cs="Arial"/>
        </w:rPr>
        <w:t>e c</w:t>
      </w:r>
      <w:r>
        <w:rPr>
          <w:rFonts w:cs="Arial"/>
        </w:rPr>
        <w:t>abinet decision detailed project planning has been completed by services with regard to those consultations, including when the outcome of</w:t>
      </w:r>
      <w:r w:rsidR="001F4E9D">
        <w:rPr>
          <w:rFonts w:cs="Arial"/>
        </w:rPr>
        <w:t xml:space="preserve"> them will be reported back to c</w:t>
      </w:r>
      <w:r>
        <w:rPr>
          <w:rFonts w:cs="Arial"/>
        </w:rPr>
        <w:t xml:space="preserve">abinet to make a final decision with regard to their implementation.  </w:t>
      </w:r>
    </w:p>
    <w:p w:rsidR="006211CA" w:rsidRDefault="009E0214" w:rsidP="00D04B72">
      <w:pPr>
        <w:tabs>
          <w:tab w:val="left" w:pos="567"/>
          <w:tab w:val="left" w:pos="1134"/>
        </w:tabs>
        <w:spacing w:after="0"/>
        <w:rPr>
          <w:rFonts w:cs="Arial"/>
        </w:rPr>
      </w:pPr>
    </w:p>
    <w:p w:rsidR="00D04B72" w:rsidRPr="0032111E" w:rsidRDefault="00A445D6" w:rsidP="00D04B72">
      <w:pPr>
        <w:tabs>
          <w:tab w:val="left" w:pos="567"/>
          <w:tab w:val="left" w:pos="1134"/>
        </w:tabs>
        <w:spacing w:after="0"/>
        <w:rPr>
          <w:rFonts w:cs="Arial"/>
        </w:rPr>
      </w:pPr>
      <w:r>
        <w:rPr>
          <w:rFonts w:cs="Arial"/>
        </w:rPr>
        <w:t>As a result of the review and project planning, SC023 – Highways Countywide Services – Streetlighting (Part Night Lighting) is now no longer being considered.  The value of proposals now subject to specific consultation has been revised to £7.529m, £2.150m of which would need to be covered by reserves in 2019/</w:t>
      </w:r>
      <w:r w:rsidR="001F4E9D">
        <w:rPr>
          <w:rFonts w:cs="Arial"/>
        </w:rPr>
        <w:t>20 if not ultimately agreed by c</w:t>
      </w:r>
      <w:r>
        <w:rPr>
          <w:rFonts w:cs="Arial"/>
        </w:rPr>
        <w:t>abinet.</w:t>
      </w:r>
    </w:p>
    <w:p w:rsidR="00B06504" w:rsidRPr="005B5485" w:rsidRDefault="009E0214" w:rsidP="00B06504">
      <w:pPr>
        <w:tabs>
          <w:tab w:val="left" w:pos="567"/>
          <w:tab w:val="left" w:pos="1134"/>
        </w:tabs>
        <w:spacing w:after="0"/>
        <w:rPr>
          <w:rFonts w:cs="Arial"/>
          <w:highlight w:val="yellow"/>
        </w:rPr>
      </w:pPr>
    </w:p>
    <w:p w:rsidR="00D04B72" w:rsidRPr="0032111E" w:rsidRDefault="00A445D6" w:rsidP="00B06504">
      <w:pPr>
        <w:tabs>
          <w:tab w:val="left" w:pos="567"/>
          <w:tab w:val="left" w:pos="1134"/>
        </w:tabs>
        <w:spacing w:after="0"/>
        <w:rPr>
          <w:rFonts w:cs="Arial"/>
        </w:rPr>
      </w:pPr>
      <w:r w:rsidRPr="0032111E">
        <w:rPr>
          <w:rFonts w:cs="Arial"/>
        </w:rPr>
        <w:t xml:space="preserve">Although the forecast funding gap </w:t>
      </w:r>
      <w:r>
        <w:rPr>
          <w:rFonts w:cs="Arial"/>
        </w:rPr>
        <w:t xml:space="preserve">has reduced during </w:t>
      </w:r>
      <w:r w:rsidRPr="0032111E">
        <w:rPr>
          <w:rFonts w:cs="Arial"/>
        </w:rPr>
        <w:t>2018/19</w:t>
      </w:r>
      <w:r>
        <w:rPr>
          <w:rFonts w:cs="Arial"/>
        </w:rPr>
        <w:t>, the position is still a shortfall, and despite savings being agreed these do</w:t>
      </w:r>
      <w:r w:rsidRPr="0032111E">
        <w:rPr>
          <w:rFonts w:cs="Arial"/>
        </w:rPr>
        <w:t xml:space="preserve"> not fully address the structural deficit which varies over each of the 4 years shown in Table 1</w:t>
      </w:r>
      <w:r>
        <w:rPr>
          <w:rFonts w:cs="Arial"/>
        </w:rPr>
        <w:t>. The shortfall is a</w:t>
      </w:r>
      <w:r w:rsidRPr="0032111E">
        <w:rPr>
          <w:rFonts w:cs="Arial"/>
        </w:rPr>
        <w:t xml:space="preserve">t its highest in the first 2 years of the MTFS reflecting the implementation period required for many of the proposals. Phase two of the service challenge process will seek to address the ongoing deficit and will focus on a number of cross-cutting work streams and areas for investigation and review identified in the initial phase but where further work is required to evidence a proposal.  These further saving proposals will come forward for consideration at future Cabinet meetings.  </w:t>
      </w:r>
    </w:p>
    <w:p w:rsidR="00D04B72" w:rsidRPr="0032111E" w:rsidRDefault="009E0214" w:rsidP="00B06504">
      <w:pPr>
        <w:tabs>
          <w:tab w:val="left" w:pos="567"/>
          <w:tab w:val="left" w:pos="1134"/>
        </w:tabs>
        <w:spacing w:after="0"/>
        <w:rPr>
          <w:rFonts w:cs="Arial"/>
        </w:rPr>
      </w:pPr>
    </w:p>
    <w:p w:rsidR="00D04B72" w:rsidRPr="0032111E" w:rsidRDefault="00A445D6" w:rsidP="00D04B72">
      <w:pPr>
        <w:autoSpaceDE/>
        <w:autoSpaceDN/>
        <w:adjustRightInd/>
        <w:spacing w:after="0"/>
        <w:textAlignment w:val="baseline"/>
        <w:rPr>
          <w:rFonts w:cs="Arial"/>
        </w:rPr>
      </w:pPr>
      <w:r w:rsidRPr="0032111E">
        <w:rPr>
          <w:rFonts w:cs="Arial"/>
        </w:rPr>
        <w:t xml:space="preserve">The revised funding gap also makes assumptions about future funding levels and there remains significant uncertainty about this post 2019/20 with changes to be made in respect of business rates retention, the overall funding formula and the anticipated green paper on adult social care. As part of the </w:t>
      </w:r>
      <w:r w:rsidR="00A912BD">
        <w:rPr>
          <w:rFonts w:cs="Arial"/>
        </w:rPr>
        <w:t>2019/20</w:t>
      </w:r>
      <w:r w:rsidRPr="0032111E">
        <w:rPr>
          <w:rFonts w:cs="Arial"/>
        </w:rPr>
        <w:t xml:space="preserve"> financial settlement Lancashire was successful in securing a business rates pilot which enables a greater amount of business rates growth to be invested in the local area. This is reflected in the revised funding tables contained within the report. </w:t>
      </w:r>
    </w:p>
    <w:p w:rsidR="00B06504" w:rsidRPr="005B5485" w:rsidRDefault="009E0214" w:rsidP="00B06504">
      <w:pPr>
        <w:tabs>
          <w:tab w:val="left" w:pos="567"/>
          <w:tab w:val="left" w:pos="1134"/>
        </w:tabs>
        <w:spacing w:after="0"/>
        <w:rPr>
          <w:rFonts w:cs="Arial"/>
          <w:highlight w:val="yellow"/>
        </w:rPr>
      </w:pPr>
    </w:p>
    <w:p w:rsidR="00D04B72" w:rsidRDefault="00A445D6" w:rsidP="00C229EC">
      <w:pPr>
        <w:tabs>
          <w:tab w:val="left" w:pos="567"/>
          <w:tab w:val="left" w:pos="1134"/>
        </w:tabs>
        <w:spacing w:after="0"/>
        <w:rPr>
          <w:rFonts w:cs="Arial"/>
        </w:rPr>
      </w:pPr>
      <w:r w:rsidRPr="0032111E">
        <w:rPr>
          <w:rFonts w:cs="Arial"/>
        </w:rPr>
        <w:t xml:space="preserve">The value of the uncommitted transitional reserve is currently forecast to be sufficient to meet the identified funding gaps through to 2022/23. However the intention is to identify further savings and thereby reduce the call on the transitional reserve, for 2020/21 and beyond.  </w:t>
      </w:r>
    </w:p>
    <w:p w:rsidR="008036A2" w:rsidRPr="0032111E" w:rsidRDefault="009E0214" w:rsidP="00C229EC">
      <w:pPr>
        <w:tabs>
          <w:tab w:val="left" w:pos="567"/>
          <w:tab w:val="left" w:pos="1134"/>
        </w:tabs>
        <w:spacing w:after="0"/>
        <w:rPr>
          <w:rFonts w:cs="Arial"/>
        </w:rPr>
      </w:pPr>
    </w:p>
    <w:p w:rsidR="00A530F7" w:rsidRPr="0032111E" w:rsidRDefault="00A445D6" w:rsidP="00A530F7">
      <w:pPr>
        <w:spacing w:after="0"/>
        <w:rPr>
          <w:rFonts w:cs="Arial"/>
        </w:rPr>
      </w:pPr>
      <w:r w:rsidRPr="0032111E">
        <w:rPr>
          <w:rFonts w:cs="Arial"/>
        </w:rPr>
        <w:t xml:space="preserve">The table </w:t>
      </w:r>
      <w:r>
        <w:rPr>
          <w:rFonts w:cs="Arial"/>
        </w:rPr>
        <w:t xml:space="preserve">on page 4 </w:t>
      </w:r>
      <w:r w:rsidRPr="0032111E">
        <w:rPr>
          <w:rFonts w:cs="Arial"/>
        </w:rPr>
        <w:t>provides a detailed analysis of movements between the previously reported financial gap and the revised financial gap:</w:t>
      </w:r>
    </w:p>
    <w:p w:rsidR="00B06504" w:rsidRDefault="00A445D6" w:rsidP="00B06504">
      <w:pPr>
        <w:tabs>
          <w:tab w:val="left" w:pos="567"/>
          <w:tab w:val="left" w:pos="1134"/>
        </w:tabs>
        <w:spacing w:after="0"/>
        <w:rPr>
          <w:rFonts w:cs="Arial"/>
          <w:b/>
          <w:i/>
          <w:u w:val="single"/>
        </w:rPr>
      </w:pPr>
      <w:r w:rsidRPr="00DF19F6">
        <w:rPr>
          <w:rFonts w:cs="Arial"/>
          <w:b/>
          <w:i/>
          <w:u w:val="single"/>
        </w:rPr>
        <w:t>Table 1</w:t>
      </w:r>
    </w:p>
    <w:p w:rsidR="004551E5" w:rsidRDefault="009E0214" w:rsidP="00B06504">
      <w:pPr>
        <w:tabs>
          <w:tab w:val="left" w:pos="567"/>
          <w:tab w:val="left" w:pos="1134"/>
        </w:tabs>
        <w:spacing w:after="0"/>
        <w:rPr>
          <w:rFonts w:cs="Arial"/>
          <w:b/>
          <w:i/>
          <w:u w:val="single"/>
        </w:rPr>
      </w:pPr>
    </w:p>
    <w:tbl>
      <w:tblPr>
        <w:tblW w:w="9560" w:type="dxa"/>
        <w:tblLook w:val="04A0" w:firstRow="1" w:lastRow="0" w:firstColumn="1" w:lastColumn="0" w:noHBand="0" w:noVBand="1"/>
      </w:tblPr>
      <w:tblGrid>
        <w:gridCol w:w="3040"/>
        <w:gridCol w:w="1300"/>
        <w:gridCol w:w="1360"/>
        <w:gridCol w:w="1288"/>
        <w:gridCol w:w="1288"/>
        <w:gridCol w:w="1284"/>
      </w:tblGrid>
      <w:tr w:rsidR="00F0025F" w:rsidTr="004551E5">
        <w:trPr>
          <w:trHeight w:val="300"/>
        </w:trPr>
        <w:tc>
          <w:tcPr>
            <w:tcW w:w="3040" w:type="dxa"/>
            <w:tcBorders>
              <w:top w:val="single" w:sz="8" w:space="0" w:color="auto"/>
              <w:left w:val="single" w:sz="8" w:space="0" w:color="auto"/>
              <w:bottom w:val="nil"/>
              <w:right w:val="single" w:sz="8" w:space="0" w:color="auto"/>
            </w:tcBorders>
            <w:shd w:val="clear" w:color="000000" w:fill="BDD7EE"/>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 </w:t>
            </w:r>
          </w:p>
        </w:tc>
        <w:tc>
          <w:tcPr>
            <w:tcW w:w="1300" w:type="dxa"/>
            <w:tcBorders>
              <w:top w:val="single" w:sz="8" w:space="0" w:color="auto"/>
              <w:left w:val="nil"/>
              <w:bottom w:val="nil"/>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2019/20</w:t>
            </w:r>
          </w:p>
        </w:tc>
        <w:tc>
          <w:tcPr>
            <w:tcW w:w="1360" w:type="dxa"/>
            <w:tcBorders>
              <w:top w:val="single" w:sz="8" w:space="0" w:color="auto"/>
              <w:left w:val="nil"/>
              <w:bottom w:val="nil"/>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2020/21</w:t>
            </w:r>
          </w:p>
        </w:tc>
        <w:tc>
          <w:tcPr>
            <w:tcW w:w="1288" w:type="dxa"/>
            <w:tcBorders>
              <w:top w:val="single" w:sz="8" w:space="0" w:color="auto"/>
              <w:left w:val="nil"/>
              <w:bottom w:val="nil"/>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2021/22</w:t>
            </w:r>
          </w:p>
        </w:tc>
        <w:tc>
          <w:tcPr>
            <w:tcW w:w="1288" w:type="dxa"/>
            <w:tcBorders>
              <w:top w:val="single" w:sz="8" w:space="0" w:color="auto"/>
              <w:left w:val="nil"/>
              <w:bottom w:val="nil"/>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2022/23</w:t>
            </w:r>
          </w:p>
        </w:tc>
        <w:tc>
          <w:tcPr>
            <w:tcW w:w="1284" w:type="dxa"/>
            <w:tcBorders>
              <w:top w:val="single" w:sz="8" w:space="0" w:color="auto"/>
              <w:left w:val="nil"/>
              <w:bottom w:val="nil"/>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Total</w:t>
            </w:r>
          </w:p>
        </w:tc>
      </w:tr>
      <w:tr w:rsidR="00F0025F" w:rsidTr="004551E5">
        <w:trPr>
          <w:trHeight w:val="315"/>
        </w:trPr>
        <w:tc>
          <w:tcPr>
            <w:tcW w:w="3040" w:type="dxa"/>
            <w:tcBorders>
              <w:top w:val="nil"/>
              <w:left w:val="single" w:sz="8" w:space="0" w:color="auto"/>
              <w:bottom w:val="single" w:sz="8" w:space="0" w:color="auto"/>
              <w:right w:val="single" w:sz="8" w:space="0" w:color="auto"/>
            </w:tcBorders>
            <w:shd w:val="clear" w:color="000000" w:fill="BDD7EE"/>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 </w:t>
            </w:r>
          </w:p>
        </w:tc>
        <w:tc>
          <w:tcPr>
            <w:tcW w:w="1300" w:type="dxa"/>
            <w:tcBorders>
              <w:top w:val="nil"/>
              <w:left w:val="nil"/>
              <w:bottom w:val="single" w:sz="8" w:space="0" w:color="auto"/>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£m</w:t>
            </w:r>
          </w:p>
        </w:tc>
        <w:tc>
          <w:tcPr>
            <w:tcW w:w="1360" w:type="dxa"/>
            <w:tcBorders>
              <w:top w:val="nil"/>
              <w:left w:val="nil"/>
              <w:bottom w:val="single" w:sz="8" w:space="0" w:color="auto"/>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£m</w:t>
            </w:r>
          </w:p>
        </w:tc>
        <w:tc>
          <w:tcPr>
            <w:tcW w:w="1288" w:type="dxa"/>
            <w:tcBorders>
              <w:top w:val="nil"/>
              <w:left w:val="nil"/>
              <w:bottom w:val="single" w:sz="8" w:space="0" w:color="auto"/>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£m</w:t>
            </w:r>
          </w:p>
        </w:tc>
        <w:tc>
          <w:tcPr>
            <w:tcW w:w="1288" w:type="dxa"/>
            <w:tcBorders>
              <w:top w:val="nil"/>
              <w:left w:val="nil"/>
              <w:bottom w:val="single" w:sz="8" w:space="0" w:color="auto"/>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£m</w:t>
            </w:r>
          </w:p>
        </w:tc>
        <w:tc>
          <w:tcPr>
            <w:tcW w:w="1284" w:type="dxa"/>
            <w:tcBorders>
              <w:top w:val="nil"/>
              <w:left w:val="nil"/>
              <w:bottom w:val="single" w:sz="8" w:space="0" w:color="auto"/>
              <w:right w:val="single" w:sz="8" w:space="0" w:color="auto"/>
            </w:tcBorders>
            <w:shd w:val="clear" w:color="000000" w:fill="BDD7EE"/>
            <w:vAlign w:val="center"/>
            <w:hideMark/>
          </w:tcPr>
          <w:p w:rsidR="004551E5" w:rsidRPr="004551E5" w:rsidRDefault="00A445D6" w:rsidP="004551E5">
            <w:pPr>
              <w:autoSpaceDE/>
              <w:autoSpaceDN/>
              <w:adjustRightInd/>
              <w:spacing w:after="0"/>
              <w:jc w:val="center"/>
              <w:rPr>
                <w:rFonts w:eastAsia="Times New Roman" w:cs="Arial"/>
                <w:b/>
                <w:bCs/>
                <w:lang w:eastAsia="en-GB"/>
              </w:rPr>
            </w:pPr>
            <w:r w:rsidRPr="004551E5">
              <w:rPr>
                <w:rFonts w:eastAsia="Times New Roman" w:cs="Arial"/>
                <w:b/>
                <w:bCs/>
                <w:lang w:eastAsia="en-GB"/>
              </w:rPr>
              <w:t>£m</w:t>
            </w:r>
          </w:p>
        </w:tc>
      </w:tr>
      <w:tr w:rsidR="00F0025F" w:rsidTr="004551E5">
        <w:trPr>
          <w:trHeight w:val="615"/>
        </w:trPr>
        <w:tc>
          <w:tcPr>
            <w:tcW w:w="3040" w:type="dxa"/>
            <w:tcBorders>
              <w:top w:val="nil"/>
              <w:left w:val="single" w:sz="8" w:space="0" w:color="auto"/>
              <w:bottom w:val="single" w:sz="8" w:space="0" w:color="auto"/>
              <w:right w:val="single" w:sz="8" w:space="0" w:color="auto"/>
            </w:tcBorders>
            <w:shd w:val="clear" w:color="auto" w:fill="auto"/>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Forecast net budget requirement</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807.332</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795.111</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804.130</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835.636</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3</w:t>
            </w:r>
            <w:r>
              <w:rPr>
                <w:rFonts w:eastAsia="Times New Roman" w:cs="Arial"/>
                <w:b/>
                <w:bCs/>
                <w:lang w:eastAsia="en-GB"/>
              </w:rPr>
              <w:t>,</w:t>
            </w:r>
            <w:r w:rsidRPr="004551E5">
              <w:rPr>
                <w:rFonts w:eastAsia="Times New Roman" w:cs="Arial"/>
                <w:b/>
                <w:bCs/>
                <w:lang w:eastAsia="en-GB"/>
              </w:rPr>
              <w:t>242.208</w:t>
            </w:r>
          </w:p>
        </w:tc>
      </w:tr>
      <w:tr w:rsidR="00F0025F" w:rsidTr="004551E5">
        <w:trPr>
          <w:trHeight w:val="315"/>
        </w:trPr>
        <w:tc>
          <w:tcPr>
            <w:tcW w:w="3040" w:type="dxa"/>
            <w:tcBorders>
              <w:top w:val="nil"/>
              <w:left w:val="single" w:sz="8" w:space="0" w:color="auto"/>
              <w:bottom w:val="single" w:sz="8" w:space="0" w:color="auto"/>
              <w:right w:val="single" w:sz="8" w:space="0" w:color="auto"/>
            </w:tcBorders>
            <w:shd w:val="clear" w:color="auto" w:fill="auto"/>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Funding</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792.722</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780.931</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798.502</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823.963</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3,196.118</w:t>
            </w:r>
          </w:p>
        </w:tc>
      </w:tr>
      <w:tr w:rsidR="00F0025F" w:rsidTr="004551E5">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Spending Gap as reported to Cabinet</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14.610</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14.180</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5.628</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11.673</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46.090</w:t>
            </w:r>
          </w:p>
        </w:tc>
      </w:tr>
      <w:tr w:rsidR="00F0025F" w:rsidTr="004551E5">
        <w:trPr>
          <w:trHeight w:val="615"/>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Add change to forecast of spending:</w:t>
            </w:r>
          </w:p>
        </w:tc>
        <w:tc>
          <w:tcPr>
            <w:tcW w:w="1300"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360"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84"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r>
      <w:tr w:rsidR="00F0025F" w:rsidTr="004551E5">
        <w:trPr>
          <w:trHeight w:val="3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Pay &amp; Pensions</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0.473</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0.238</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0.044</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0.259</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1.014</w:t>
            </w:r>
          </w:p>
        </w:tc>
      </w:tr>
      <w:tr w:rsidR="00F0025F" w:rsidTr="004551E5">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Inflation and Cost Changes</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2.968</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0.555</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-0.037</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0.047</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3.533</w:t>
            </w:r>
          </w:p>
        </w:tc>
      </w:tr>
      <w:tr w:rsidR="00F0025F" w:rsidTr="004551E5">
        <w:trPr>
          <w:trHeight w:val="61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Service Demand and Volume Pressures</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0.329</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-0.684</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-0.178</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-0.603</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-1.136</w:t>
            </w:r>
          </w:p>
        </w:tc>
      </w:tr>
      <w:tr w:rsidR="00F0025F" w:rsidTr="004551E5">
        <w:trPr>
          <w:trHeight w:val="36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Other</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0.135</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-1.958</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0.000</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0.000</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-1.823</w:t>
            </w:r>
          </w:p>
        </w:tc>
      </w:tr>
      <w:tr w:rsidR="00F0025F" w:rsidTr="004551E5">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color w:val="auto"/>
                <w:lang w:eastAsia="en-GB"/>
              </w:rPr>
            </w:pPr>
            <w:r w:rsidRPr="00F5500C">
              <w:rPr>
                <w:rFonts w:eastAsia="Times New Roman" w:cs="Arial"/>
                <w:color w:val="auto"/>
                <w:lang w:eastAsia="en-GB"/>
              </w:rPr>
              <w:t>Savings</w:t>
            </w:r>
            <w:r>
              <w:rPr>
                <w:rFonts w:eastAsia="Times New Roman" w:cs="Arial"/>
                <w:color w:val="auto"/>
                <w:lang w:eastAsia="en-GB"/>
              </w:rPr>
              <w:t xml:space="preserve"> Adjustments</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0.357</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Pr>
                <w:rFonts w:eastAsia="Times New Roman" w:cs="Arial"/>
                <w:lang w:eastAsia="en-GB"/>
              </w:rPr>
              <w:t>-0.320</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0.000</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0.000</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Pr>
                <w:rFonts w:eastAsia="Times New Roman" w:cs="Arial"/>
                <w:b/>
                <w:bCs/>
                <w:lang w:eastAsia="en-GB"/>
              </w:rPr>
              <w:t>0.037</w:t>
            </w:r>
          </w:p>
        </w:tc>
      </w:tr>
      <w:tr w:rsidR="00F0025F" w:rsidTr="004551E5">
        <w:trPr>
          <w:trHeight w:val="630"/>
        </w:trPr>
        <w:tc>
          <w:tcPr>
            <w:tcW w:w="3040" w:type="dxa"/>
            <w:tcBorders>
              <w:top w:val="nil"/>
              <w:left w:val="single" w:sz="8" w:space="0" w:color="auto"/>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Total Change to Forecast of Spending</w:t>
            </w:r>
          </w:p>
        </w:tc>
        <w:tc>
          <w:tcPr>
            <w:tcW w:w="1300"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4.262</w:t>
            </w:r>
          </w:p>
        </w:tc>
        <w:tc>
          <w:tcPr>
            <w:tcW w:w="1360"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-2.169</w:t>
            </w:r>
          </w:p>
        </w:tc>
        <w:tc>
          <w:tcPr>
            <w:tcW w:w="1288"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-0.171</w:t>
            </w:r>
          </w:p>
        </w:tc>
        <w:tc>
          <w:tcPr>
            <w:tcW w:w="1288"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-0.297</w:t>
            </w:r>
          </w:p>
        </w:tc>
        <w:tc>
          <w:tcPr>
            <w:tcW w:w="1284"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1.625</w:t>
            </w:r>
          </w:p>
        </w:tc>
      </w:tr>
      <w:tr w:rsidR="00F0025F" w:rsidTr="004551E5">
        <w:trPr>
          <w:trHeight w:val="450"/>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r>
      <w:tr w:rsidR="00F0025F" w:rsidTr="004551E5">
        <w:trPr>
          <w:trHeight w:val="480"/>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Change to forecast of resources:</w:t>
            </w:r>
          </w:p>
        </w:tc>
        <w:tc>
          <w:tcPr>
            <w:tcW w:w="1300"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360"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88"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84"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r>
      <w:tr w:rsidR="00F0025F" w:rsidTr="004551E5">
        <w:trPr>
          <w:trHeight w:val="34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Funding</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-5.426</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4.919</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0.000</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0.000</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-0.507</w:t>
            </w:r>
          </w:p>
        </w:tc>
      </w:tr>
      <w:tr w:rsidR="00F0025F" w:rsidTr="004551E5">
        <w:trPr>
          <w:trHeight w:val="615"/>
        </w:trPr>
        <w:tc>
          <w:tcPr>
            <w:tcW w:w="3040" w:type="dxa"/>
            <w:tcBorders>
              <w:top w:val="nil"/>
              <w:left w:val="single" w:sz="8" w:space="0" w:color="auto"/>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Total Change to Forecast of Resources</w:t>
            </w:r>
          </w:p>
        </w:tc>
        <w:tc>
          <w:tcPr>
            <w:tcW w:w="1300" w:type="dxa"/>
            <w:tcBorders>
              <w:top w:val="single" w:sz="8" w:space="0" w:color="auto"/>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-5.426</w:t>
            </w:r>
          </w:p>
        </w:tc>
        <w:tc>
          <w:tcPr>
            <w:tcW w:w="1360" w:type="dxa"/>
            <w:tcBorders>
              <w:top w:val="single" w:sz="8" w:space="0" w:color="auto"/>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4.919</w:t>
            </w:r>
          </w:p>
        </w:tc>
        <w:tc>
          <w:tcPr>
            <w:tcW w:w="1288" w:type="dxa"/>
            <w:tcBorders>
              <w:top w:val="single" w:sz="8" w:space="0" w:color="auto"/>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0.000</w:t>
            </w:r>
          </w:p>
        </w:tc>
        <w:tc>
          <w:tcPr>
            <w:tcW w:w="1288" w:type="dxa"/>
            <w:tcBorders>
              <w:top w:val="single" w:sz="8" w:space="0" w:color="auto"/>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0.000</w:t>
            </w:r>
          </w:p>
        </w:tc>
        <w:tc>
          <w:tcPr>
            <w:tcW w:w="1284"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-0.507</w:t>
            </w:r>
          </w:p>
        </w:tc>
      </w:tr>
      <w:tr w:rsidR="00F0025F" w:rsidTr="004551E5">
        <w:trPr>
          <w:trHeight w:val="405"/>
        </w:trPr>
        <w:tc>
          <w:tcPr>
            <w:tcW w:w="304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lang w:eastAsia="en-GB"/>
              </w:rPr>
            </w:pPr>
            <w:r w:rsidRPr="004551E5">
              <w:rPr>
                <w:rFonts w:eastAsia="Times New Roman" w:cs="Arial"/>
                <w:lang w:eastAsia="en-GB"/>
              </w:rPr>
              <w:t> </w:t>
            </w:r>
          </w:p>
        </w:tc>
        <w:tc>
          <w:tcPr>
            <w:tcW w:w="130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360"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88"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8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r>
      <w:tr w:rsidR="00F0025F" w:rsidTr="004551E5">
        <w:trPr>
          <w:trHeight w:val="375"/>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Funding Gap</w:t>
            </w:r>
          </w:p>
        </w:tc>
        <w:tc>
          <w:tcPr>
            <w:tcW w:w="1300"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13.446</w:t>
            </w:r>
          </w:p>
        </w:tc>
        <w:tc>
          <w:tcPr>
            <w:tcW w:w="1360"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16.930</w:t>
            </w:r>
          </w:p>
        </w:tc>
        <w:tc>
          <w:tcPr>
            <w:tcW w:w="1288"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5.457</w:t>
            </w:r>
          </w:p>
        </w:tc>
        <w:tc>
          <w:tcPr>
            <w:tcW w:w="1288"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11.376</w:t>
            </w:r>
          </w:p>
        </w:tc>
        <w:tc>
          <w:tcPr>
            <w:tcW w:w="1284" w:type="dxa"/>
            <w:tcBorders>
              <w:top w:val="nil"/>
              <w:left w:val="nil"/>
              <w:bottom w:val="single" w:sz="8" w:space="0" w:color="auto"/>
              <w:right w:val="single" w:sz="8" w:space="0" w:color="auto"/>
            </w:tcBorders>
            <w:shd w:val="clear" w:color="000000" w:fill="D9D9D9"/>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47.209</w:t>
            </w:r>
          </w:p>
        </w:tc>
      </w:tr>
    </w:tbl>
    <w:p w:rsidR="004551E5" w:rsidRDefault="009E0214" w:rsidP="00B06504">
      <w:pPr>
        <w:tabs>
          <w:tab w:val="left" w:pos="567"/>
          <w:tab w:val="left" w:pos="1134"/>
        </w:tabs>
        <w:spacing w:after="0"/>
        <w:rPr>
          <w:rFonts w:cs="Arial"/>
          <w:b/>
          <w:i/>
          <w:u w:val="single"/>
        </w:rPr>
      </w:pPr>
    </w:p>
    <w:p w:rsidR="004551E5" w:rsidRPr="00DF19F6" w:rsidRDefault="009E0214" w:rsidP="00B06504">
      <w:pPr>
        <w:tabs>
          <w:tab w:val="left" w:pos="567"/>
          <w:tab w:val="left" w:pos="1134"/>
        </w:tabs>
        <w:spacing w:after="0"/>
        <w:rPr>
          <w:rFonts w:cs="Arial"/>
          <w:b/>
          <w:i/>
          <w:u w:val="single"/>
        </w:rPr>
      </w:pPr>
    </w:p>
    <w:tbl>
      <w:tblPr>
        <w:tblW w:w="9629" w:type="dxa"/>
        <w:tblLook w:val="04A0" w:firstRow="1" w:lastRow="0" w:firstColumn="1" w:lastColumn="0" w:noHBand="0" w:noVBand="1"/>
      </w:tblPr>
      <w:tblGrid>
        <w:gridCol w:w="4810"/>
        <w:gridCol w:w="1204"/>
        <w:gridCol w:w="1205"/>
        <w:gridCol w:w="1205"/>
        <w:gridCol w:w="1205"/>
      </w:tblGrid>
      <w:tr w:rsidR="00F0025F" w:rsidTr="004551E5">
        <w:trPr>
          <w:trHeight w:val="48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Aggregated Funding Gap</w:t>
            </w:r>
          </w:p>
        </w:tc>
        <w:tc>
          <w:tcPr>
            <w:tcW w:w="1204" w:type="dxa"/>
            <w:tcBorders>
              <w:top w:val="single" w:sz="8" w:space="0" w:color="auto"/>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c>
          <w:tcPr>
            <w:tcW w:w="1205" w:type="dxa"/>
            <w:tcBorders>
              <w:top w:val="single" w:sz="8" w:space="0" w:color="auto"/>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 </w:t>
            </w:r>
          </w:p>
        </w:tc>
      </w:tr>
      <w:tr w:rsidR="00F0025F" w:rsidTr="004551E5">
        <w:trPr>
          <w:trHeight w:val="34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2019/20 (£m)</w:t>
            </w:r>
          </w:p>
        </w:tc>
        <w:tc>
          <w:tcPr>
            <w:tcW w:w="120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13.446</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13.446</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13.446</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13.446</w:t>
            </w:r>
          </w:p>
        </w:tc>
      </w:tr>
      <w:tr w:rsidR="00F0025F" w:rsidTr="004551E5">
        <w:trPr>
          <w:trHeight w:val="34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2020/21 (£m)</w:t>
            </w:r>
          </w:p>
        </w:tc>
        <w:tc>
          <w:tcPr>
            <w:tcW w:w="120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16.930</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16.930</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16.930</w:t>
            </w:r>
          </w:p>
        </w:tc>
      </w:tr>
      <w:tr w:rsidR="00F0025F" w:rsidTr="004551E5">
        <w:trPr>
          <w:trHeight w:val="43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2021/22 (£m)</w:t>
            </w:r>
          </w:p>
        </w:tc>
        <w:tc>
          <w:tcPr>
            <w:tcW w:w="120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5.457</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5.457</w:t>
            </w:r>
          </w:p>
        </w:tc>
      </w:tr>
      <w:tr w:rsidR="00F0025F" w:rsidTr="004551E5">
        <w:trPr>
          <w:trHeight w:val="40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2022/23 (£m)</w:t>
            </w:r>
          </w:p>
        </w:tc>
        <w:tc>
          <w:tcPr>
            <w:tcW w:w="120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11.376</w:t>
            </w:r>
          </w:p>
        </w:tc>
      </w:tr>
      <w:tr w:rsidR="00F0025F" w:rsidTr="004551E5">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 xml:space="preserve">Total </w:t>
            </w:r>
          </w:p>
        </w:tc>
        <w:tc>
          <w:tcPr>
            <w:tcW w:w="1204"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13.446</w:t>
            </w:r>
          </w:p>
        </w:tc>
        <w:tc>
          <w:tcPr>
            <w:tcW w:w="1205"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30.376</w:t>
            </w:r>
          </w:p>
        </w:tc>
        <w:tc>
          <w:tcPr>
            <w:tcW w:w="1205"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35.833</w:t>
            </w:r>
          </w:p>
        </w:tc>
        <w:tc>
          <w:tcPr>
            <w:tcW w:w="1205"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47.209</w:t>
            </w:r>
          </w:p>
        </w:tc>
      </w:tr>
      <w:tr w:rsidR="00F0025F" w:rsidTr="004551E5">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 </w:t>
            </w:r>
          </w:p>
        </w:tc>
        <w:tc>
          <w:tcPr>
            <w:tcW w:w="120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 </w:t>
            </w:r>
          </w:p>
        </w:tc>
      </w:tr>
      <w:tr w:rsidR="00F0025F" w:rsidTr="004551E5">
        <w:trPr>
          <w:trHeight w:val="37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Previous position (£m)</w:t>
            </w:r>
          </w:p>
        </w:tc>
        <w:tc>
          <w:tcPr>
            <w:tcW w:w="1204"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14.610</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28.790</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34.418</w:t>
            </w:r>
          </w:p>
        </w:tc>
        <w:tc>
          <w:tcPr>
            <w:tcW w:w="1205" w:type="dxa"/>
            <w:tcBorders>
              <w:top w:val="nil"/>
              <w:left w:val="nil"/>
              <w:bottom w:val="single" w:sz="8" w:space="0" w:color="auto"/>
              <w:right w:val="single" w:sz="8" w:space="0" w:color="auto"/>
            </w:tcBorders>
            <w:shd w:val="clear" w:color="auto" w:fill="auto"/>
            <w:vAlign w:val="center"/>
            <w:hideMark/>
          </w:tcPr>
          <w:p w:rsidR="004551E5" w:rsidRPr="004551E5" w:rsidRDefault="00A445D6" w:rsidP="004551E5">
            <w:pPr>
              <w:autoSpaceDE/>
              <w:autoSpaceDN/>
              <w:adjustRightInd/>
              <w:spacing w:after="0"/>
              <w:jc w:val="right"/>
              <w:rPr>
                <w:rFonts w:eastAsia="Times New Roman" w:cs="Arial"/>
                <w:lang w:eastAsia="en-GB"/>
              </w:rPr>
            </w:pPr>
            <w:r w:rsidRPr="004551E5">
              <w:rPr>
                <w:rFonts w:eastAsia="Times New Roman" w:cs="Arial"/>
                <w:lang w:eastAsia="en-GB"/>
              </w:rPr>
              <w:t>46.090</w:t>
            </w:r>
          </w:p>
        </w:tc>
      </w:tr>
      <w:tr w:rsidR="00F0025F" w:rsidTr="004551E5">
        <w:trPr>
          <w:trHeight w:val="36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left"/>
              <w:rPr>
                <w:rFonts w:eastAsia="Times New Roman" w:cs="Arial"/>
                <w:b/>
                <w:bCs/>
                <w:lang w:eastAsia="en-GB"/>
              </w:rPr>
            </w:pPr>
            <w:r w:rsidRPr="004551E5">
              <w:rPr>
                <w:rFonts w:eastAsia="Times New Roman" w:cs="Arial"/>
                <w:b/>
                <w:bCs/>
                <w:lang w:eastAsia="en-GB"/>
              </w:rPr>
              <w:t>Variance (£m)</w:t>
            </w:r>
          </w:p>
        </w:tc>
        <w:tc>
          <w:tcPr>
            <w:tcW w:w="1204"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-1.164</w:t>
            </w:r>
          </w:p>
        </w:tc>
        <w:tc>
          <w:tcPr>
            <w:tcW w:w="1205"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1.586</w:t>
            </w:r>
          </w:p>
        </w:tc>
        <w:tc>
          <w:tcPr>
            <w:tcW w:w="1205"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1.415</w:t>
            </w:r>
          </w:p>
        </w:tc>
        <w:tc>
          <w:tcPr>
            <w:tcW w:w="1205" w:type="dxa"/>
            <w:tcBorders>
              <w:top w:val="nil"/>
              <w:left w:val="nil"/>
              <w:bottom w:val="single" w:sz="8" w:space="0" w:color="auto"/>
              <w:right w:val="single" w:sz="8" w:space="0" w:color="auto"/>
            </w:tcBorders>
            <w:shd w:val="clear" w:color="000000" w:fill="BFBFBF"/>
            <w:vAlign w:val="center"/>
            <w:hideMark/>
          </w:tcPr>
          <w:p w:rsidR="004551E5" w:rsidRPr="004551E5" w:rsidRDefault="00A445D6" w:rsidP="004551E5">
            <w:pPr>
              <w:autoSpaceDE/>
              <w:autoSpaceDN/>
              <w:adjustRightInd/>
              <w:spacing w:after="0"/>
              <w:jc w:val="right"/>
              <w:rPr>
                <w:rFonts w:eastAsia="Times New Roman" w:cs="Arial"/>
                <w:b/>
                <w:bCs/>
                <w:lang w:eastAsia="en-GB"/>
              </w:rPr>
            </w:pPr>
            <w:r w:rsidRPr="004551E5">
              <w:rPr>
                <w:rFonts w:eastAsia="Times New Roman" w:cs="Arial"/>
                <w:b/>
                <w:bCs/>
                <w:lang w:eastAsia="en-GB"/>
              </w:rPr>
              <w:t>1.118</w:t>
            </w:r>
          </w:p>
        </w:tc>
      </w:tr>
    </w:tbl>
    <w:p w:rsidR="00B06504" w:rsidRDefault="009E0214" w:rsidP="00B06504">
      <w:pPr>
        <w:tabs>
          <w:tab w:val="left" w:pos="567"/>
          <w:tab w:val="left" w:pos="1134"/>
        </w:tabs>
        <w:spacing w:after="0"/>
        <w:rPr>
          <w:rFonts w:cs="Arial"/>
          <w:b/>
          <w:i/>
          <w:highlight w:val="yellow"/>
          <w:u w:val="single"/>
        </w:rPr>
      </w:pPr>
    </w:p>
    <w:p w:rsidR="00B06504" w:rsidRDefault="00A445D6" w:rsidP="00B06504">
      <w:pPr>
        <w:spacing w:after="0"/>
        <w:rPr>
          <w:rFonts w:cs="Arial"/>
        </w:rPr>
      </w:pPr>
      <w:r w:rsidRPr="00DF19F6">
        <w:rPr>
          <w:rFonts w:cs="Arial"/>
        </w:rPr>
        <w:t xml:space="preserve">The graph below </w:t>
      </w:r>
      <w:r w:rsidRPr="006F6992">
        <w:rPr>
          <w:rFonts w:cs="Arial"/>
        </w:rPr>
        <w:t>demonstrates the drivers that make up the changes in the financial gap from £42m carried forward from 2018/19 to the cumulative position of £47m in the financial year 2022/23 as shown in the table above:</w:t>
      </w:r>
    </w:p>
    <w:p w:rsidR="004551E5" w:rsidRPr="006F6992" w:rsidRDefault="009E0214" w:rsidP="00B06504">
      <w:pPr>
        <w:spacing w:after="0"/>
        <w:rPr>
          <w:rFonts w:cs="Arial"/>
        </w:rPr>
      </w:pPr>
    </w:p>
    <w:p w:rsidR="00B06504" w:rsidRPr="006F6992" w:rsidRDefault="009E0214" w:rsidP="00B06504">
      <w:pPr>
        <w:spacing w:after="0"/>
        <w:rPr>
          <w:rFonts w:cs="Arial"/>
        </w:rPr>
      </w:pPr>
    </w:p>
    <w:p w:rsidR="00B06504" w:rsidRPr="006F6992" w:rsidRDefault="00A445D6" w:rsidP="00B06504">
      <w:pPr>
        <w:spacing w:after="0"/>
        <w:rPr>
          <w:rFonts w:cs="Arial"/>
          <w:b/>
        </w:rPr>
      </w:pPr>
      <w:r>
        <w:rPr>
          <w:rFonts w:cs="Arial"/>
          <w:noProof/>
          <w:lang w:eastAsia="en-GB"/>
        </w:rPr>
        <w:drawing>
          <wp:inline distT="0" distB="0" distL="0" distR="0">
            <wp:extent cx="5731510" cy="30717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075229"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31510" cy="3071760"/>
                    </a:xfrm>
                    <a:prstGeom prst="rect">
                      <a:avLst/>
                    </a:prstGeom>
                    <a:noFill/>
                  </pic:spPr>
                </pic:pic>
              </a:graphicData>
            </a:graphic>
          </wp:inline>
        </w:drawing>
      </w: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B06504" w:rsidRPr="006F6992" w:rsidRDefault="009E0214" w:rsidP="00B06504">
      <w:pPr>
        <w:spacing w:after="0"/>
        <w:rPr>
          <w:rFonts w:cs="Arial"/>
          <w:b/>
        </w:rPr>
      </w:pPr>
    </w:p>
    <w:p w:rsidR="00A530F7" w:rsidRPr="006F6992" w:rsidRDefault="009E0214" w:rsidP="00B06504">
      <w:pPr>
        <w:tabs>
          <w:tab w:val="left" w:pos="567"/>
          <w:tab w:val="left" w:pos="1134"/>
        </w:tabs>
        <w:spacing w:after="0"/>
        <w:rPr>
          <w:rFonts w:cs="Arial"/>
          <w:b/>
        </w:rPr>
      </w:pPr>
    </w:p>
    <w:p w:rsidR="00A530F7" w:rsidRPr="006F6992" w:rsidRDefault="009E0214" w:rsidP="00B06504">
      <w:pPr>
        <w:tabs>
          <w:tab w:val="left" w:pos="567"/>
          <w:tab w:val="left" w:pos="1134"/>
        </w:tabs>
        <w:spacing w:after="0"/>
        <w:rPr>
          <w:rFonts w:cs="Arial"/>
          <w:b/>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A530F7" w:rsidRPr="005B5485" w:rsidRDefault="009E0214" w:rsidP="00B06504">
      <w:pPr>
        <w:tabs>
          <w:tab w:val="left" w:pos="567"/>
          <w:tab w:val="left" w:pos="1134"/>
        </w:tabs>
        <w:spacing w:after="0"/>
        <w:rPr>
          <w:rFonts w:cs="Arial"/>
          <w:b/>
          <w:highlight w:val="yellow"/>
        </w:rPr>
      </w:pPr>
    </w:p>
    <w:p w:rsidR="00DF19F6" w:rsidRDefault="009E0214" w:rsidP="00B06504">
      <w:pPr>
        <w:tabs>
          <w:tab w:val="left" w:pos="567"/>
          <w:tab w:val="left" w:pos="1134"/>
        </w:tabs>
        <w:spacing w:after="0"/>
        <w:rPr>
          <w:rFonts w:cs="Arial"/>
          <w:b/>
          <w:highlight w:val="yellow"/>
        </w:rPr>
      </w:pPr>
    </w:p>
    <w:p w:rsidR="00F5500C" w:rsidRDefault="009E0214" w:rsidP="00B06504">
      <w:pPr>
        <w:tabs>
          <w:tab w:val="left" w:pos="567"/>
          <w:tab w:val="left" w:pos="1134"/>
        </w:tabs>
        <w:spacing w:after="0"/>
        <w:rPr>
          <w:rFonts w:cs="Arial"/>
          <w:b/>
          <w:highlight w:val="yellow"/>
        </w:rPr>
      </w:pPr>
    </w:p>
    <w:p w:rsidR="007446EE" w:rsidRDefault="009E0214" w:rsidP="00B06504">
      <w:pPr>
        <w:tabs>
          <w:tab w:val="left" w:pos="567"/>
          <w:tab w:val="left" w:pos="1134"/>
        </w:tabs>
        <w:spacing w:after="0"/>
        <w:rPr>
          <w:rFonts w:cs="Arial"/>
          <w:b/>
          <w:highlight w:val="yellow"/>
        </w:rPr>
      </w:pPr>
    </w:p>
    <w:p w:rsidR="00553C3E" w:rsidRDefault="009E0214" w:rsidP="00B06504">
      <w:pPr>
        <w:tabs>
          <w:tab w:val="left" w:pos="567"/>
          <w:tab w:val="left" w:pos="1134"/>
        </w:tabs>
        <w:spacing w:after="0"/>
        <w:rPr>
          <w:rFonts w:cs="Arial"/>
          <w:b/>
          <w:highlight w:val="yellow"/>
        </w:rPr>
      </w:pPr>
    </w:p>
    <w:p w:rsidR="004551E5" w:rsidRDefault="009E0214" w:rsidP="00B06504">
      <w:pPr>
        <w:tabs>
          <w:tab w:val="left" w:pos="567"/>
          <w:tab w:val="left" w:pos="1134"/>
        </w:tabs>
        <w:spacing w:after="0"/>
        <w:rPr>
          <w:rFonts w:cs="Arial"/>
          <w:b/>
          <w:highlight w:val="yellow"/>
        </w:rPr>
      </w:pPr>
    </w:p>
    <w:p w:rsidR="00B06504" w:rsidRPr="001906F2" w:rsidRDefault="00A445D6" w:rsidP="00B06504">
      <w:pPr>
        <w:tabs>
          <w:tab w:val="left" w:pos="567"/>
          <w:tab w:val="left" w:pos="1134"/>
        </w:tabs>
        <w:spacing w:after="0"/>
        <w:rPr>
          <w:rFonts w:cs="Arial"/>
          <w:b/>
        </w:rPr>
      </w:pPr>
      <w:r w:rsidRPr="001906F2">
        <w:rPr>
          <w:rFonts w:cs="Arial"/>
          <w:b/>
        </w:rPr>
        <w:t>2. Funding</w:t>
      </w:r>
    </w:p>
    <w:p w:rsidR="00B06504" w:rsidRPr="005B5485" w:rsidRDefault="009E0214" w:rsidP="00B06504">
      <w:pPr>
        <w:tabs>
          <w:tab w:val="left" w:pos="567"/>
          <w:tab w:val="left" w:pos="1134"/>
        </w:tabs>
        <w:spacing w:after="0"/>
        <w:rPr>
          <w:rFonts w:cs="Arial"/>
          <w:b/>
          <w:highlight w:val="yellow"/>
        </w:rPr>
      </w:pPr>
    </w:p>
    <w:p w:rsidR="00B06504" w:rsidRPr="001906F2" w:rsidRDefault="00A445D6" w:rsidP="00B06504">
      <w:pPr>
        <w:tabs>
          <w:tab w:val="left" w:pos="567"/>
          <w:tab w:val="left" w:pos="1134"/>
        </w:tabs>
        <w:spacing w:after="0"/>
        <w:rPr>
          <w:rFonts w:cs="Arial"/>
        </w:rPr>
      </w:pPr>
      <w:r w:rsidRPr="001906F2">
        <w:rPr>
          <w:rFonts w:cs="Arial"/>
        </w:rPr>
        <w:t xml:space="preserve">The funding included within this report reflects the </w:t>
      </w:r>
      <w:r w:rsidR="004873BE">
        <w:rPr>
          <w:rFonts w:cs="Arial"/>
        </w:rPr>
        <w:t xml:space="preserve">final </w:t>
      </w:r>
      <w:r w:rsidRPr="001906F2">
        <w:rPr>
          <w:rFonts w:cs="Arial"/>
        </w:rPr>
        <w:t>settlement</w:t>
      </w:r>
      <w:r>
        <w:rPr>
          <w:rFonts w:cs="Arial"/>
        </w:rPr>
        <w:t xml:space="preserve"> for 2019/20 </w:t>
      </w:r>
      <w:r w:rsidRPr="001906F2">
        <w:rPr>
          <w:rFonts w:cs="Arial"/>
        </w:rPr>
        <w:t xml:space="preserve">that was announced on </w:t>
      </w:r>
      <w:r w:rsidR="004873BE">
        <w:rPr>
          <w:rFonts w:cs="Arial"/>
        </w:rPr>
        <w:t>29th January</w:t>
      </w:r>
      <w:r w:rsidRPr="001906F2">
        <w:rPr>
          <w:rFonts w:cs="Arial"/>
        </w:rPr>
        <w:t xml:space="preserve"> 201</w:t>
      </w:r>
      <w:r w:rsidR="004873BE">
        <w:rPr>
          <w:rFonts w:cs="Arial"/>
        </w:rPr>
        <w:t>9,</w:t>
      </w:r>
      <w:r w:rsidR="000D425A">
        <w:rPr>
          <w:rFonts w:cs="Arial"/>
        </w:rPr>
        <w:t xml:space="preserve"> with no changes to funding</w:t>
      </w:r>
      <w:r w:rsidR="004873BE">
        <w:rPr>
          <w:rFonts w:cs="Arial"/>
        </w:rPr>
        <w:t xml:space="preserve"> announced in the provisional settlement</w:t>
      </w:r>
      <w:r w:rsidRPr="001906F2">
        <w:rPr>
          <w:rFonts w:cs="Arial"/>
        </w:rPr>
        <w:t xml:space="preserve">. </w:t>
      </w:r>
      <w:r>
        <w:rPr>
          <w:rFonts w:cs="Arial"/>
        </w:rPr>
        <w:t xml:space="preserve">As there will be new models of funding from 2020/21 due to the implementation of business rates retention and a new funding formula there is no information available in relation to funding levels post 2019/20. </w:t>
      </w:r>
      <w:r w:rsidRPr="001906F2">
        <w:rPr>
          <w:rFonts w:cs="Arial"/>
        </w:rPr>
        <w:t>Assumptions have therefore been made for</w:t>
      </w:r>
      <w:r>
        <w:rPr>
          <w:rFonts w:cs="Arial"/>
        </w:rPr>
        <w:t xml:space="preserve"> funding levels from 2020/21 – 2022/23 that are detailed within this report. </w:t>
      </w:r>
    </w:p>
    <w:p w:rsidR="00D13FA9" w:rsidRPr="00553C3E" w:rsidRDefault="009E0214" w:rsidP="00B06504">
      <w:pPr>
        <w:tabs>
          <w:tab w:val="left" w:pos="567"/>
          <w:tab w:val="left" w:pos="1134"/>
        </w:tabs>
        <w:spacing w:after="0"/>
        <w:rPr>
          <w:rFonts w:cs="Arial"/>
          <w:b/>
          <w:highlight w:val="yellow"/>
        </w:rPr>
      </w:pPr>
    </w:p>
    <w:p w:rsidR="000D425A" w:rsidRDefault="00A445D6" w:rsidP="00B06504">
      <w:pPr>
        <w:tabs>
          <w:tab w:val="left" w:pos="567"/>
          <w:tab w:val="left" w:pos="1134"/>
        </w:tabs>
        <w:spacing w:after="0"/>
        <w:rPr>
          <w:rFonts w:cs="Arial"/>
          <w:b/>
        </w:rPr>
      </w:pPr>
      <w:r w:rsidRPr="00E30F97">
        <w:rPr>
          <w:rFonts w:cs="Arial"/>
          <w:b/>
        </w:rPr>
        <w:t>Provisional Settlement</w:t>
      </w:r>
      <w:r>
        <w:rPr>
          <w:rFonts w:cs="Arial"/>
          <w:b/>
        </w:rPr>
        <w:t xml:space="preserve"> &amp; Final Settlement </w:t>
      </w:r>
    </w:p>
    <w:p w:rsidR="00E73D6B" w:rsidRPr="000C7E6F" w:rsidRDefault="00A445D6" w:rsidP="00B06504">
      <w:pPr>
        <w:tabs>
          <w:tab w:val="left" w:pos="567"/>
          <w:tab w:val="left" w:pos="1134"/>
        </w:tabs>
        <w:spacing w:after="0"/>
        <w:rPr>
          <w:rFonts w:cs="Arial"/>
        </w:rPr>
      </w:pPr>
      <w:r w:rsidRPr="000C7E6F">
        <w:rPr>
          <w:rFonts w:cs="Arial"/>
        </w:rPr>
        <w:t xml:space="preserve">As part of the settlement the Secretary of State confirmed that the referendum limit for the core element of council tax is to remain at 3%.  </w:t>
      </w:r>
      <w:r>
        <w:rPr>
          <w:rFonts w:cs="Arial"/>
        </w:rPr>
        <w:t xml:space="preserve">This was already assumed within the MTFS that has been presented at earlier Cabinet meetings, therefore there is no financial impact as a result of this confirmation. </w:t>
      </w:r>
    </w:p>
    <w:p w:rsidR="00E73D6B" w:rsidRPr="000C7E6F" w:rsidRDefault="009E0214" w:rsidP="00B06504">
      <w:pPr>
        <w:tabs>
          <w:tab w:val="left" w:pos="567"/>
          <w:tab w:val="left" w:pos="1134"/>
        </w:tabs>
        <w:spacing w:after="0"/>
        <w:rPr>
          <w:rFonts w:cs="Arial"/>
        </w:rPr>
      </w:pPr>
    </w:p>
    <w:p w:rsidR="007D552C" w:rsidRDefault="00A445D6" w:rsidP="00B06504">
      <w:pPr>
        <w:tabs>
          <w:tab w:val="left" w:pos="567"/>
          <w:tab w:val="left" w:pos="1134"/>
        </w:tabs>
        <w:spacing w:after="0"/>
        <w:rPr>
          <w:rFonts w:cs="Arial"/>
        </w:rPr>
      </w:pPr>
      <w:r>
        <w:rPr>
          <w:rFonts w:cs="Arial"/>
        </w:rPr>
        <w:t xml:space="preserve">In addition, some unexpected one-off funding was received as nationally there was a </w:t>
      </w:r>
      <w:r w:rsidRPr="000C7E6F">
        <w:rPr>
          <w:rFonts w:cs="Arial"/>
        </w:rPr>
        <w:t>surplus on the business rates levy accoun</w:t>
      </w:r>
      <w:r>
        <w:rPr>
          <w:rFonts w:cs="Arial"/>
        </w:rPr>
        <w:t>t which the G</w:t>
      </w:r>
      <w:r w:rsidRPr="000C7E6F">
        <w:rPr>
          <w:rFonts w:cs="Arial"/>
        </w:rPr>
        <w:t>overnment have chosen to allocate out to all authorities based on need.  Lancashire will recei</w:t>
      </w:r>
      <w:r>
        <w:rPr>
          <w:rFonts w:cs="Arial"/>
        </w:rPr>
        <w:t>ve £2.860m in a one off payment.</w:t>
      </w:r>
    </w:p>
    <w:p w:rsidR="00B06504" w:rsidRPr="003D1BBF" w:rsidRDefault="009E0214" w:rsidP="00B06504">
      <w:pPr>
        <w:tabs>
          <w:tab w:val="left" w:pos="567"/>
          <w:tab w:val="left" w:pos="1134"/>
        </w:tabs>
        <w:spacing w:after="0"/>
        <w:rPr>
          <w:rFonts w:cs="Arial"/>
        </w:rPr>
      </w:pPr>
    </w:p>
    <w:p w:rsidR="00B06504" w:rsidRDefault="00A445D6" w:rsidP="00B06504">
      <w:pPr>
        <w:tabs>
          <w:tab w:val="left" w:pos="567"/>
          <w:tab w:val="left" w:pos="1134"/>
        </w:tabs>
        <w:spacing w:after="0"/>
        <w:rPr>
          <w:rFonts w:cs="Arial"/>
        </w:rPr>
      </w:pPr>
      <w:r w:rsidRPr="003D1BBF">
        <w:rPr>
          <w:rFonts w:cs="Arial"/>
        </w:rPr>
        <w:t>It is currently anticipated that a new system of local government finance, the "fair funding formula", will be in place in 2020/21 which involves local government retaining 75% of the business rates and a review of the funding formula. However, details of the scheme and the impact on Lancashire are not known at this time, although further proposals and consultations are anticipated in coming weeks. Without any insight into the outcomes of this work, the MTFS assumes that the funding proposals will match the current business rates and grants structure in future years, with the exception that the revenue support grant will cease from 2020/21, in line with previous government announcements.</w:t>
      </w:r>
    </w:p>
    <w:p w:rsidR="003D1BBF" w:rsidRDefault="009E0214" w:rsidP="00B06504">
      <w:pPr>
        <w:tabs>
          <w:tab w:val="left" w:pos="567"/>
          <w:tab w:val="left" w:pos="1134"/>
        </w:tabs>
        <w:spacing w:after="0"/>
        <w:rPr>
          <w:rFonts w:cs="Arial"/>
        </w:rPr>
      </w:pPr>
    </w:p>
    <w:p w:rsidR="003D1BBF" w:rsidRPr="003D1BBF" w:rsidRDefault="00A445D6" w:rsidP="00B06504">
      <w:pPr>
        <w:tabs>
          <w:tab w:val="left" w:pos="567"/>
          <w:tab w:val="left" w:pos="1134"/>
        </w:tabs>
        <w:spacing w:after="0"/>
        <w:rPr>
          <w:rFonts w:cs="Arial"/>
        </w:rPr>
      </w:pPr>
      <w:r>
        <w:rPr>
          <w:rFonts w:cs="Arial"/>
        </w:rPr>
        <w:t xml:space="preserve">As part of the provisional settlement the Chancellor announced several new 75% business rates pilot schemes, with Lancashire being successful in its bid. Further detail is included within the specific section in this report, however when reviewing the funding table below it is important to note that in order to secure the additional growth from business rates authorities agree to forgo their revenue support grant, therefore this will now show as a nil value in the table. </w:t>
      </w:r>
    </w:p>
    <w:p w:rsidR="00B06504"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726421" w:rsidRPr="005B5485" w:rsidRDefault="009E0214" w:rsidP="00B06504">
      <w:pPr>
        <w:spacing w:after="0"/>
        <w:rPr>
          <w:rFonts w:cs="Arial"/>
          <w:highlight w:val="yellow"/>
        </w:rPr>
      </w:pPr>
    </w:p>
    <w:p w:rsidR="003D1BBF" w:rsidRDefault="009E0214" w:rsidP="00B06504">
      <w:pPr>
        <w:spacing w:after="0"/>
        <w:rPr>
          <w:rFonts w:cs="Arial"/>
        </w:rPr>
      </w:pPr>
    </w:p>
    <w:p w:rsidR="007446EE" w:rsidRDefault="009E0214" w:rsidP="00B06504">
      <w:pPr>
        <w:spacing w:after="0"/>
        <w:rPr>
          <w:rFonts w:cs="Arial"/>
        </w:rPr>
      </w:pPr>
    </w:p>
    <w:p w:rsidR="00686F58" w:rsidRDefault="009E0214" w:rsidP="00B06504">
      <w:pPr>
        <w:spacing w:after="0"/>
        <w:rPr>
          <w:rFonts w:cs="Arial"/>
        </w:rPr>
      </w:pPr>
    </w:p>
    <w:p w:rsidR="00D13FA9" w:rsidRPr="003D1BBF" w:rsidRDefault="00A445D6" w:rsidP="00B06504">
      <w:pPr>
        <w:spacing w:after="0"/>
        <w:rPr>
          <w:rFonts w:cs="Arial"/>
        </w:rPr>
      </w:pPr>
      <w:r>
        <w:rPr>
          <w:rFonts w:cs="Arial"/>
        </w:rPr>
        <w:t xml:space="preserve">The table below reflects the updated funding position for the county council, including the provisional financial settlement. </w:t>
      </w:r>
    </w:p>
    <w:p w:rsidR="00D13FA9" w:rsidRPr="005B5485" w:rsidRDefault="009E0214" w:rsidP="00B06504">
      <w:pPr>
        <w:spacing w:after="0"/>
        <w:rPr>
          <w:rFonts w:cs="Arial"/>
          <w:highlight w:val="yellow"/>
        </w:rPr>
      </w:pPr>
    </w:p>
    <w:p w:rsidR="00B06504" w:rsidRPr="00DD56B3" w:rsidRDefault="00A445D6" w:rsidP="00B06504">
      <w:pPr>
        <w:spacing w:after="0"/>
        <w:rPr>
          <w:rFonts w:cs="Arial"/>
          <w:b/>
          <w:i/>
          <w:u w:val="single"/>
        </w:rPr>
      </w:pPr>
      <w:r w:rsidRPr="00DD56B3">
        <w:rPr>
          <w:rFonts w:cs="Arial"/>
          <w:b/>
          <w:i/>
          <w:u w:val="single"/>
        </w:rPr>
        <w:t>Table 2</w:t>
      </w:r>
    </w:p>
    <w:p w:rsidR="00B06504" w:rsidRPr="005B5485" w:rsidRDefault="009E0214" w:rsidP="00B06504">
      <w:pPr>
        <w:spacing w:after="0"/>
        <w:rPr>
          <w:rFonts w:cs="Arial"/>
          <w:highlight w:val="yellow"/>
        </w:rPr>
      </w:pPr>
    </w:p>
    <w:tbl>
      <w:tblPr>
        <w:tblStyle w:val="TableGrid"/>
        <w:tblW w:w="0" w:type="auto"/>
        <w:jc w:val="center"/>
        <w:tblLayout w:type="fixed"/>
        <w:tblLook w:val="04A0" w:firstRow="1" w:lastRow="0" w:firstColumn="1" w:lastColumn="0" w:noHBand="0" w:noVBand="1"/>
      </w:tblPr>
      <w:tblGrid>
        <w:gridCol w:w="3114"/>
        <w:gridCol w:w="1284"/>
        <w:gridCol w:w="1267"/>
        <w:gridCol w:w="1268"/>
        <w:gridCol w:w="1251"/>
      </w:tblGrid>
      <w:tr w:rsidR="00F0025F" w:rsidTr="00E63635">
        <w:trPr>
          <w:trHeight w:val="593"/>
          <w:jc w:val="center"/>
        </w:trPr>
        <w:tc>
          <w:tcPr>
            <w:tcW w:w="3114" w:type="dxa"/>
            <w:shd w:val="clear" w:color="auto" w:fill="BFBFBF" w:themeFill="background1" w:themeFillShade="BF"/>
            <w:vAlign w:val="center"/>
          </w:tcPr>
          <w:p w:rsidR="00B06504" w:rsidRPr="00686F58" w:rsidRDefault="009E0214" w:rsidP="00B06504">
            <w:pPr>
              <w:pStyle w:val="NoSpacing"/>
              <w:jc w:val="both"/>
              <w:rPr>
                <w:rFonts w:cs="Arial"/>
                <w:szCs w:val="24"/>
              </w:rPr>
            </w:pPr>
          </w:p>
        </w:tc>
        <w:tc>
          <w:tcPr>
            <w:tcW w:w="1284" w:type="dxa"/>
            <w:shd w:val="clear" w:color="auto" w:fill="BFBFBF" w:themeFill="background1" w:themeFillShade="BF"/>
            <w:vAlign w:val="center"/>
          </w:tcPr>
          <w:p w:rsidR="00B06504" w:rsidRPr="00686F58" w:rsidRDefault="00A445D6" w:rsidP="00B06504">
            <w:pPr>
              <w:pStyle w:val="NoSpacing"/>
              <w:jc w:val="center"/>
              <w:rPr>
                <w:rFonts w:cs="Arial"/>
                <w:b/>
                <w:szCs w:val="24"/>
              </w:rPr>
            </w:pPr>
            <w:r w:rsidRPr="00686F58">
              <w:rPr>
                <w:rFonts w:cs="Arial"/>
                <w:b/>
                <w:szCs w:val="24"/>
              </w:rPr>
              <w:t>2019/20</w:t>
            </w:r>
          </w:p>
          <w:p w:rsidR="00B06504" w:rsidRPr="00686F58" w:rsidRDefault="00A445D6" w:rsidP="00B06504">
            <w:pPr>
              <w:pStyle w:val="NoSpacing"/>
              <w:jc w:val="center"/>
              <w:rPr>
                <w:rFonts w:cs="Arial"/>
                <w:b/>
                <w:szCs w:val="24"/>
              </w:rPr>
            </w:pPr>
            <w:r w:rsidRPr="00686F58">
              <w:rPr>
                <w:rFonts w:cs="Arial"/>
                <w:b/>
                <w:szCs w:val="24"/>
              </w:rPr>
              <w:t>£m</w:t>
            </w:r>
          </w:p>
        </w:tc>
        <w:tc>
          <w:tcPr>
            <w:tcW w:w="1267" w:type="dxa"/>
            <w:shd w:val="clear" w:color="auto" w:fill="BFBFBF" w:themeFill="background1" w:themeFillShade="BF"/>
            <w:vAlign w:val="center"/>
          </w:tcPr>
          <w:p w:rsidR="00B06504" w:rsidRPr="00686F58" w:rsidRDefault="00A445D6" w:rsidP="00B06504">
            <w:pPr>
              <w:pStyle w:val="NoSpacing"/>
              <w:jc w:val="center"/>
              <w:rPr>
                <w:rFonts w:cs="Arial"/>
                <w:b/>
                <w:szCs w:val="24"/>
              </w:rPr>
            </w:pPr>
            <w:r w:rsidRPr="00686F58">
              <w:rPr>
                <w:rFonts w:cs="Arial"/>
                <w:b/>
                <w:szCs w:val="24"/>
              </w:rPr>
              <w:t>2020/21</w:t>
            </w:r>
          </w:p>
          <w:p w:rsidR="00B06504" w:rsidRPr="00686F58" w:rsidRDefault="00A445D6" w:rsidP="00B06504">
            <w:pPr>
              <w:pStyle w:val="NoSpacing"/>
              <w:jc w:val="center"/>
              <w:rPr>
                <w:rFonts w:cs="Arial"/>
                <w:b/>
                <w:szCs w:val="24"/>
              </w:rPr>
            </w:pPr>
            <w:r w:rsidRPr="00686F58">
              <w:rPr>
                <w:rFonts w:cs="Arial"/>
                <w:b/>
                <w:szCs w:val="24"/>
              </w:rPr>
              <w:t>£m</w:t>
            </w:r>
          </w:p>
        </w:tc>
        <w:tc>
          <w:tcPr>
            <w:tcW w:w="1268" w:type="dxa"/>
            <w:shd w:val="clear" w:color="auto" w:fill="BFBFBF" w:themeFill="background1" w:themeFillShade="BF"/>
          </w:tcPr>
          <w:p w:rsidR="00B06504" w:rsidRPr="00686F58" w:rsidRDefault="00A445D6" w:rsidP="00B06504">
            <w:pPr>
              <w:pStyle w:val="NoSpacing"/>
              <w:jc w:val="center"/>
              <w:rPr>
                <w:rFonts w:cs="Arial"/>
                <w:b/>
                <w:szCs w:val="24"/>
              </w:rPr>
            </w:pPr>
            <w:r w:rsidRPr="00686F58">
              <w:rPr>
                <w:rFonts w:cs="Arial"/>
                <w:b/>
                <w:szCs w:val="24"/>
              </w:rPr>
              <w:t>2021/22 £m</w:t>
            </w:r>
          </w:p>
        </w:tc>
        <w:tc>
          <w:tcPr>
            <w:tcW w:w="1251" w:type="dxa"/>
            <w:shd w:val="clear" w:color="auto" w:fill="BFBFBF" w:themeFill="background1" w:themeFillShade="BF"/>
          </w:tcPr>
          <w:p w:rsidR="00B06504" w:rsidRPr="00686F58" w:rsidRDefault="00A445D6" w:rsidP="00B06504">
            <w:pPr>
              <w:pStyle w:val="NoSpacing"/>
              <w:jc w:val="center"/>
              <w:rPr>
                <w:rFonts w:cs="Arial"/>
                <w:b/>
                <w:szCs w:val="24"/>
              </w:rPr>
            </w:pPr>
            <w:r w:rsidRPr="00686F58">
              <w:rPr>
                <w:rFonts w:cs="Arial"/>
                <w:b/>
                <w:szCs w:val="24"/>
              </w:rPr>
              <w:t>2022/23</w:t>
            </w:r>
          </w:p>
          <w:p w:rsidR="00B06504" w:rsidRPr="00686F58" w:rsidRDefault="00A445D6" w:rsidP="00B06504">
            <w:pPr>
              <w:pStyle w:val="NoSpacing"/>
              <w:jc w:val="center"/>
              <w:rPr>
                <w:rFonts w:cs="Arial"/>
                <w:b/>
                <w:szCs w:val="24"/>
              </w:rPr>
            </w:pPr>
            <w:r w:rsidRPr="00686F58">
              <w:rPr>
                <w:rFonts w:cs="Arial"/>
                <w:b/>
                <w:szCs w:val="24"/>
              </w:rPr>
              <w:t>£m</w:t>
            </w:r>
          </w:p>
        </w:tc>
      </w:tr>
      <w:tr w:rsidR="00F0025F" w:rsidTr="00E63635">
        <w:trPr>
          <w:trHeight w:val="526"/>
          <w:jc w:val="center"/>
        </w:trPr>
        <w:tc>
          <w:tcPr>
            <w:tcW w:w="3114" w:type="dxa"/>
            <w:vAlign w:val="center"/>
          </w:tcPr>
          <w:p w:rsidR="00B06504" w:rsidRPr="00686F58" w:rsidRDefault="00A445D6" w:rsidP="00B06504">
            <w:pPr>
              <w:pStyle w:val="NoSpacing"/>
              <w:spacing w:line="276" w:lineRule="auto"/>
              <w:rPr>
                <w:rFonts w:cs="Arial"/>
                <w:szCs w:val="24"/>
              </w:rPr>
            </w:pPr>
            <w:r w:rsidRPr="00686F58">
              <w:rPr>
                <w:rFonts w:cs="Arial"/>
                <w:szCs w:val="24"/>
              </w:rPr>
              <w:t>Revenue Support Grant</w:t>
            </w:r>
          </w:p>
        </w:tc>
        <w:tc>
          <w:tcPr>
            <w:tcW w:w="1284" w:type="dxa"/>
            <w:vAlign w:val="center"/>
          </w:tcPr>
          <w:p w:rsidR="00B06504" w:rsidRPr="00686F58" w:rsidRDefault="00A445D6" w:rsidP="00B06504">
            <w:pPr>
              <w:pStyle w:val="NoSpacing"/>
              <w:spacing w:line="276" w:lineRule="auto"/>
              <w:jc w:val="right"/>
              <w:rPr>
                <w:rFonts w:cs="Arial"/>
                <w:szCs w:val="24"/>
              </w:rPr>
            </w:pPr>
            <w:r>
              <w:rPr>
                <w:rFonts w:cs="Arial"/>
                <w:szCs w:val="24"/>
              </w:rPr>
              <w:t>0.000</w:t>
            </w:r>
          </w:p>
        </w:tc>
        <w:tc>
          <w:tcPr>
            <w:tcW w:w="1267" w:type="dxa"/>
            <w:vAlign w:val="center"/>
          </w:tcPr>
          <w:p w:rsidR="00B06504" w:rsidRPr="00686F58" w:rsidRDefault="00A445D6" w:rsidP="00B06504">
            <w:pPr>
              <w:pStyle w:val="NoSpacing"/>
              <w:spacing w:line="276" w:lineRule="auto"/>
              <w:jc w:val="right"/>
              <w:rPr>
                <w:rFonts w:cs="Arial"/>
                <w:szCs w:val="24"/>
              </w:rPr>
            </w:pPr>
            <w:r>
              <w:rPr>
                <w:rFonts w:cs="Arial"/>
                <w:szCs w:val="24"/>
              </w:rPr>
              <w:t>0.000</w:t>
            </w:r>
          </w:p>
        </w:tc>
        <w:tc>
          <w:tcPr>
            <w:tcW w:w="1268" w:type="dxa"/>
            <w:vAlign w:val="center"/>
          </w:tcPr>
          <w:p w:rsidR="00B06504" w:rsidRPr="00686F58" w:rsidRDefault="00A445D6" w:rsidP="00B06504">
            <w:pPr>
              <w:pStyle w:val="NoSpacing"/>
              <w:spacing w:line="276" w:lineRule="auto"/>
              <w:jc w:val="right"/>
              <w:rPr>
                <w:rFonts w:cs="Arial"/>
                <w:szCs w:val="24"/>
              </w:rPr>
            </w:pPr>
            <w:r>
              <w:rPr>
                <w:rFonts w:cs="Arial"/>
                <w:szCs w:val="24"/>
              </w:rPr>
              <w:t>0.000</w:t>
            </w:r>
          </w:p>
        </w:tc>
        <w:tc>
          <w:tcPr>
            <w:tcW w:w="1251" w:type="dxa"/>
            <w:vAlign w:val="center"/>
          </w:tcPr>
          <w:p w:rsidR="00B06504" w:rsidRPr="00686F58" w:rsidRDefault="00A445D6" w:rsidP="00B06504">
            <w:pPr>
              <w:pStyle w:val="NoSpacing"/>
              <w:spacing w:line="276" w:lineRule="auto"/>
              <w:jc w:val="right"/>
              <w:rPr>
                <w:rFonts w:cs="Arial"/>
                <w:szCs w:val="24"/>
              </w:rPr>
            </w:pPr>
            <w:r>
              <w:rPr>
                <w:rFonts w:cs="Arial"/>
                <w:szCs w:val="24"/>
              </w:rPr>
              <w:t>0.000</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Business Rates</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228.288</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199.496</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204.938</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210.550</w:t>
            </w:r>
          </w:p>
        </w:tc>
      </w:tr>
      <w:tr w:rsidR="00F0025F" w:rsidTr="00E63635">
        <w:tblPrEx>
          <w:jc w:val="left"/>
        </w:tblPrEx>
        <w:trPr>
          <w:trHeight w:val="526"/>
        </w:trPr>
        <w:tc>
          <w:tcPr>
            <w:tcW w:w="3114" w:type="dxa"/>
          </w:tcPr>
          <w:p w:rsidR="00F5500C" w:rsidRPr="00E63635" w:rsidRDefault="00A445D6" w:rsidP="00E63635">
            <w:pPr>
              <w:autoSpaceDE/>
              <w:autoSpaceDN/>
              <w:adjustRightInd/>
              <w:spacing w:after="0"/>
              <w:jc w:val="left"/>
              <w:rPr>
                <w:rFonts w:eastAsia="Times New Roman" w:cs="Arial"/>
                <w:lang w:eastAsia="en-GB"/>
              </w:rPr>
            </w:pPr>
            <w:r>
              <w:rPr>
                <w:rFonts w:eastAsia="Times New Roman" w:cs="Arial"/>
                <w:lang w:eastAsia="en-GB"/>
              </w:rPr>
              <w:t>Business Rates – Additional Levy</w:t>
            </w:r>
          </w:p>
        </w:tc>
        <w:tc>
          <w:tcPr>
            <w:tcW w:w="1284"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2.860</w:t>
            </w:r>
          </w:p>
        </w:tc>
        <w:tc>
          <w:tcPr>
            <w:tcW w:w="1267"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0.000</w:t>
            </w:r>
          </w:p>
        </w:tc>
        <w:tc>
          <w:tcPr>
            <w:tcW w:w="1268"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0.000</w:t>
            </w:r>
          </w:p>
        </w:tc>
        <w:tc>
          <w:tcPr>
            <w:tcW w:w="1251"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0.000</w:t>
            </w:r>
          </w:p>
        </w:tc>
      </w:tr>
      <w:tr w:rsidR="00F0025F" w:rsidTr="00E63635">
        <w:tblPrEx>
          <w:jc w:val="left"/>
        </w:tblPrEx>
        <w:trPr>
          <w:trHeight w:val="526"/>
        </w:trPr>
        <w:tc>
          <w:tcPr>
            <w:tcW w:w="3114" w:type="dxa"/>
          </w:tcPr>
          <w:p w:rsidR="00F5500C" w:rsidRPr="00E63635" w:rsidRDefault="00A445D6" w:rsidP="00E63635">
            <w:pPr>
              <w:autoSpaceDE/>
              <w:autoSpaceDN/>
              <w:adjustRightInd/>
              <w:spacing w:after="0"/>
              <w:jc w:val="left"/>
              <w:rPr>
                <w:rFonts w:eastAsia="Times New Roman" w:cs="Arial"/>
                <w:lang w:eastAsia="en-GB"/>
              </w:rPr>
            </w:pPr>
            <w:r>
              <w:rPr>
                <w:rFonts w:eastAsia="Times New Roman" w:cs="Arial"/>
                <w:lang w:eastAsia="en-GB"/>
              </w:rPr>
              <w:t>Business Rates – Pilot growth</w:t>
            </w:r>
          </w:p>
        </w:tc>
        <w:tc>
          <w:tcPr>
            <w:tcW w:w="1284"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1.958</w:t>
            </w:r>
          </w:p>
        </w:tc>
        <w:tc>
          <w:tcPr>
            <w:tcW w:w="1267"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0.000</w:t>
            </w:r>
          </w:p>
        </w:tc>
        <w:tc>
          <w:tcPr>
            <w:tcW w:w="1268"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0.000</w:t>
            </w:r>
          </w:p>
        </w:tc>
        <w:tc>
          <w:tcPr>
            <w:tcW w:w="1251" w:type="dxa"/>
          </w:tcPr>
          <w:p w:rsidR="00F5500C"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0.000</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Council Tax</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495.510</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513.964</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533.102</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552.951</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New Homes Bonus</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3.573</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3.019</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3.010</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3.010</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Better Care Fund</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45.532</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45.532</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45.532</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45.532</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Capital receipts</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8.000</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7.000</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0.000</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0.000</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Social Care Grant</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9.427</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9.427</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9.427</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Pr>
                <w:rFonts w:eastAsia="Times New Roman" w:cs="Arial"/>
                <w:lang w:eastAsia="en-GB"/>
              </w:rPr>
              <w:t>9.427</w:t>
            </w:r>
          </w:p>
        </w:tc>
      </w:tr>
      <w:tr w:rsidR="00F0025F" w:rsidTr="00E63635">
        <w:tblPrEx>
          <w:jc w:val="left"/>
        </w:tblPrEx>
        <w:trPr>
          <w:trHeight w:val="526"/>
        </w:trPr>
        <w:tc>
          <w:tcPr>
            <w:tcW w:w="3114" w:type="dxa"/>
            <w:hideMark/>
          </w:tcPr>
          <w:p w:rsidR="00E63635" w:rsidRPr="00E63635" w:rsidRDefault="00A445D6" w:rsidP="00E63635">
            <w:pPr>
              <w:autoSpaceDE/>
              <w:autoSpaceDN/>
              <w:adjustRightInd/>
              <w:spacing w:after="0"/>
              <w:jc w:val="left"/>
              <w:rPr>
                <w:rFonts w:eastAsia="Times New Roman" w:cs="Arial"/>
                <w:lang w:eastAsia="en-GB"/>
              </w:rPr>
            </w:pPr>
            <w:r w:rsidRPr="00E63635">
              <w:rPr>
                <w:rFonts w:eastAsia="Times New Roman" w:cs="Arial"/>
                <w:lang w:eastAsia="en-GB"/>
              </w:rPr>
              <w:t>Collection Fund Surplus</w:t>
            </w:r>
          </w:p>
        </w:tc>
        <w:tc>
          <w:tcPr>
            <w:tcW w:w="1284"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3.000</w:t>
            </w:r>
          </w:p>
        </w:tc>
        <w:tc>
          <w:tcPr>
            <w:tcW w:w="1267"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3.000</w:t>
            </w:r>
          </w:p>
        </w:tc>
        <w:tc>
          <w:tcPr>
            <w:tcW w:w="1268"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3.000</w:t>
            </w:r>
          </w:p>
        </w:tc>
        <w:tc>
          <w:tcPr>
            <w:tcW w:w="1251" w:type="dxa"/>
            <w:hideMark/>
          </w:tcPr>
          <w:p w:rsidR="00E63635" w:rsidRPr="00E63635" w:rsidRDefault="00A445D6" w:rsidP="00E63635">
            <w:pPr>
              <w:autoSpaceDE/>
              <w:autoSpaceDN/>
              <w:adjustRightInd/>
              <w:spacing w:after="0"/>
              <w:jc w:val="right"/>
              <w:rPr>
                <w:rFonts w:eastAsia="Times New Roman" w:cs="Arial"/>
                <w:lang w:eastAsia="en-GB"/>
              </w:rPr>
            </w:pPr>
            <w:r w:rsidRPr="00E63635">
              <w:rPr>
                <w:rFonts w:eastAsia="Times New Roman" w:cs="Arial"/>
                <w:lang w:eastAsia="en-GB"/>
              </w:rPr>
              <w:t>3.000</w:t>
            </w:r>
          </w:p>
        </w:tc>
      </w:tr>
      <w:tr w:rsidR="00F0025F" w:rsidTr="00E63635">
        <w:tblPrEx>
          <w:jc w:val="left"/>
        </w:tblPrEx>
        <w:trPr>
          <w:trHeight w:val="330"/>
        </w:trPr>
        <w:tc>
          <w:tcPr>
            <w:tcW w:w="3114" w:type="dxa"/>
            <w:hideMark/>
          </w:tcPr>
          <w:p w:rsidR="00E63635" w:rsidRPr="00E63635" w:rsidRDefault="00A445D6" w:rsidP="00E63635">
            <w:pPr>
              <w:autoSpaceDE/>
              <w:autoSpaceDN/>
              <w:adjustRightInd/>
              <w:spacing w:after="0"/>
              <w:rPr>
                <w:rFonts w:eastAsia="Times New Roman" w:cs="Arial"/>
                <w:b/>
                <w:bCs/>
                <w:lang w:eastAsia="en-GB"/>
              </w:rPr>
            </w:pPr>
            <w:r w:rsidRPr="00E63635">
              <w:rPr>
                <w:rFonts w:eastAsia="Times New Roman" w:cs="Arial"/>
                <w:b/>
                <w:bCs/>
                <w:lang w:eastAsia="en-GB"/>
              </w:rPr>
              <w:t> </w:t>
            </w:r>
          </w:p>
        </w:tc>
        <w:tc>
          <w:tcPr>
            <w:tcW w:w="1284" w:type="dxa"/>
            <w:hideMark/>
          </w:tcPr>
          <w:p w:rsidR="00E63635" w:rsidRPr="00E63635" w:rsidRDefault="00A445D6" w:rsidP="00E63635">
            <w:pPr>
              <w:autoSpaceDE/>
              <w:autoSpaceDN/>
              <w:adjustRightInd/>
              <w:spacing w:after="0"/>
              <w:jc w:val="right"/>
              <w:rPr>
                <w:rFonts w:eastAsia="Times New Roman" w:cs="Arial"/>
                <w:b/>
                <w:bCs/>
                <w:lang w:eastAsia="en-GB"/>
              </w:rPr>
            </w:pPr>
            <w:r w:rsidRPr="00E63635">
              <w:rPr>
                <w:rFonts w:eastAsia="Times New Roman" w:cs="Arial"/>
                <w:b/>
                <w:bCs/>
                <w:lang w:eastAsia="en-GB"/>
              </w:rPr>
              <w:t> </w:t>
            </w:r>
          </w:p>
        </w:tc>
        <w:tc>
          <w:tcPr>
            <w:tcW w:w="1267" w:type="dxa"/>
            <w:hideMark/>
          </w:tcPr>
          <w:p w:rsidR="00E63635" w:rsidRPr="00E63635" w:rsidRDefault="00A445D6" w:rsidP="00E63635">
            <w:pPr>
              <w:autoSpaceDE/>
              <w:autoSpaceDN/>
              <w:adjustRightInd/>
              <w:spacing w:after="0"/>
              <w:jc w:val="right"/>
              <w:rPr>
                <w:rFonts w:eastAsia="Times New Roman" w:cs="Arial"/>
                <w:b/>
                <w:bCs/>
                <w:lang w:eastAsia="en-GB"/>
              </w:rPr>
            </w:pPr>
            <w:r w:rsidRPr="00E63635">
              <w:rPr>
                <w:rFonts w:eastAsia="Times New Roman" w:cs="Arial"/>
                <w:b/>
                <w:bCs/>
                <w:lang w:eastAsia="en-GB"/>
              </w:rPr>
              <w:t> </w:t>
            </w:r>
          </w:p>
        </w:tc>
        <w:tc>
          <w:tcPr>
            <w:tcW w:w="1268" w:type="dxa"/>
            <w:hideMark/>
          </w:tcPr>
          <w:p w:rsidR="00E63635" w:rsidRPr="00E63635" w:rsidRDefault="00A445D6" w:rsidP="00E63635">
            <w:pPr>
              <w:autoSpaceDE/>
              <w:autoSpaceDN/>
              <w:adjustRightInd/>
              <w:spacing w:after="0"/>
              <w:jc w:val="right"/>
              <w:rPr>
                <w:rFonts w:eastAsia="Times New Roman" w:cs="Arial"/>
                <w:b/>
                <w:bCs/>
                <w:lang w:eastAsia="en-GB"/>
              </w:rPr>
            </w:pPr>
            <w:r w:rsidRPr="00E63635">
              <w:rPr>
                <w:rFonts w:eastAsia="Times New Roman" w:cs="Arial"/>
                <w:b/>
                <w:bCs/>
                <w:lang w:eastAsia="en-GB"/>
              </w:rPr>
              <w:t> </w:t>
            </w:r>
          </w:p>
        </w:tc>
        <w:tc>
          <w:tcPr>
            <w:tcW w:w="1251" w:type="dxa"/>
            <w:hideMark/>
          </w:tcPr>
          <w:p w:rsidR="00E63635" w:rsidRPr="00E63635" w:rsidRDefault="00A445D6" w:rsidP="00E63635">
            <w:pPr>
              <w:autoSpaceDE/>
              <w:autoSpaceDN/>
              <w:adjustRightInd/>
              <w:spacing w:after="0"/>
              <w:jc w:val="right"/>
              <w:rPr>
                <w:rFonts w:eastAsia="Times New Roman" w:cs="Arial"/>
                <w:b/>
                <w:bCs/>
                <w:lang w:eastAsia="en-GB"/>
              </w:rPr>
            </w:pPr>
            <w:r w:rsidRPr="00E63635">
              <w:rPr>
                <w:rFonts w:eastAsia="Times New Roman" w:cs="Arial"/>
                <w:b/>
                <w:bCs/>
                <w:lang w:eastAsia="en-GB"/>
              </w:rPr>
              <w:t> </w:t>
            </w:r>
          </w:p>
        </w:tc>
      </w:tr>
      <w:tr w:rsidR="00F0025F" w:rsidTr="00E63635">
        <w:trPr>
          <w:trHeight w:val="552"/>
          <w:jc w:val="center"/>
        </w:trPr>
        <w:tc>
          <w:tcPr>
            <w:tcW w:w="3114" w:type="dxa"/>
            <w:shd w:val="clear" w:color="auto" w:fill="BFBFBF" w:themeFill="background1" w:themeFillShade="BF"/>
            <w:vAlign w:val="center"/>
          </w:tcPr>
          <w:p w:rsidR="00B06504" w:rsidRPr="00686F58" w:rsidRDefault="00A445D6" w:rsidP="00B06504">
            <w:pPr>
              <w:pStyle w:val="NoSpacing"/>
              <w:spacing w:line="276" w:lineRule="auto"/>
              <w:jc w:val="both"/>
              <w:rPr>
                <w:rFonts w:cs="Arial"/>
                <w:b/>
                <w:szCs w:val="24"/>
              </w:rPr>
            </w:pPr>
            <w:r w:rsidRPr="00686F58">
              <w:rPr>
                <w:rFonts w:cs="Arial"/>
                <w:b/>
                <w:szCs w:val="24"/>
              </w:rPr>
              <w:t>Total</w:t>
            </w:r>
          </w:p>
        </w:tc>
        <w:tc>
          <w:tcPr>
            <w:tcW w:w="1284" w:type="dxa"/>
            <w:shd w:val="clear" w:color="auto" w:fill="BFBFBF" w:themeFill="background1" w:themeFillShade="BF"/>
            <w:vAlign w:val="bottom"/>
          </w:tcPr>
          <w:p w:rsidR="00B06504" w:rsidRPr="00686F58" w:rsidRDefault="00A445D6" w:rsidP="00686F58">
            <w:pPr>
              <w:spacing w:line="276" w:lineRule="auto"/>
              <w:jc w:val="right"/>
              <w:rPr>
                <w:rFonts w:cs="Arial"/>
                <w:b/>
                <w:lang w:eastAsia="en-GB"/>
              </w:rPr>
            </w:pPr>
            <w:r>
              <w:rPr>
                <w:rFonts w:cs="Arial"/>
                <w:b/>
                <w:lang w:eastAsia="en-GB"/>
              </w:rPr>
              <w:t>798.148</w:t>
            </w:r>
          </w:p>
        </w:tc>
        <w:tc>
          <w:tcPr>
            <w:tcW w:w="1267" w:type="dxa"/>
            <w:shd w:val="clear" w:color="auto" w:fill="BFBFBF" w:themeFill="background1" w:themeFillShade="BF"/>
            <w:vAlign w:val="bottom"/>
          </w:tcPr>
          <w:p w:rsidR="00B06504" w:rsidRPr="00686F58" w:rsidRDefault="00A445D6" w:rsidP="00E63635">
            <w:pPr>
              <w:spacing w:line="276" w:lineRule="auto"/>
              <w:jc w:val="right"/>
              <w:rPr>
                <w:rFonts w:cs="Arial"/>
                <w:b/>
                <w:lang w:eastAsia="en-GB"/>
              </w:rPr>
            </w:pPr>
            <w:r>
              <w:rPr>
                <w:rFonts w:cs="Arial"/>
                <w:b/>
                <w:lang w:eastAsia="en-GB"/>
              </w:rPr>
              <w:t>781.438</w:t>
            </w:r>
          </w:p>
        </w:tc>
        <w:tc>
          <w:tcPr>
            <w:tcW w:w="1268" w:type="dxa"/>
            <w:shd w:val="clear" w:color="auto" w:fill="BFBFBF" w:themeFill="background1" w:themeFillShade="BF"/>
            <w:vAlign w:val="bottom"/>
          </w:tcPr>
          <w:p w:rsidR="00B06504" w:rsidRPr="00686F58" w:rsidRDefault="00A445D6" w:rsidP="00B06504">
            <w:pPr>
              <w:spacing w:line="276" w:lineRule="auto"/>
              <w:jc w:val="right"/>
              <w:rPr>
                <w:rFonts w:cs="Arial"/>
                <w:b/>
                <w:lang w:eastAsia="en-GB"/>
              </w:rPr>
            </w:pPr>
            <w:r>
              <w:rPr>
                <w:rFonts w:cs="Arial"/>
                <w:b/>
                <w:lang w:eastAsia="en-GB"/>
              </w:rPr>
              <w:t>799.009</w:t>
            </w:r>
          </w:p>
        </w:tc>
        <w:tc>
          <w:tcPr>
            <w:tcW w:w="1251" w:type="dxa"/>
            <w:shd w:val="clear" w:color="auto" w:fill="BFBFBF" w:themeFill="background1" w:themeFillShade="BF"/>
            <w:vAlign w:val="center"/>
          </w:tcPr>
          <w:p w:rsidR="00B06504" w:rsidRPr="00686F58" w:rsidRDefault="00A445D6" w:rsidP="00B06504">
            <w:pPr>
              <w:spacing w:after="0" w:line="276" w:lineRule="auto"/>
              <w:jc w:val="right"/>
              <w:rPr>
                <w:rFonts w:cs="Arial"/>
                <w:b/>
              </w:rPr>
            </w:pPr>
            <w:r>
              <w:rPr>
                <w:rFonts w:cs="Arial"/>
                <w:b/>
              </w:rPr>
              <w:t>824.470</w:t>
            </w:r>
          </w:p>
        </w:tc>
      </w:tr>
      <w:tr w:rsidR="00F0025F" w:rsidTr="00E63635">
        <w:trPr>
          <w:trHeight w:val="313"/>
          <w:jc w:val="center"/>
        </w:trPr>
        <w:tc>
          <w:tcPr>
            <w:tcW w:w="3114" w:type="dxa"/>
            <w:shd w:val="clear" w:color="auto" w:fill="auto"/>
            <w:vAlign w:val="center"/>
          </w:tcPr>
          <w:p w:rsidR="00B06504" w:rsidRPr="00686F58" w:rsidRDefault="009E0214" w:rsidP="00B06504">
            <w:pPr>
              <w:pStyle w:val="NoSpacing"/>
              <w:spacing w:line="276" w:lineRule="auto"/>
              <w:jc w:val="both"/>
              <w:rPr>
                <w:rFonts w:cs="Arial"/>
                <w:b/>
                <w:szCs w:val="24"/>
              </w:rPr>
            </w:pPr>
          </w:p>
        </w:tc>
        <w:tc>
          <w:tcPr>
            <w:tcW w:w="1284" w:type="dxa"/>
            <w:shd w:val="clear" w:color="auto" w:fill="auto"/>
            <w:vAlign w:val="bottom"/>
          </w:tcPr>
          <w:p w:rsidR="00B06504" w:rsidRPr="00686F58" w:rsidRDefault="009E0214" w:rsidP="00B06504">
            <w:pPr>
              <w:spacing w:line="276" w:lineRule="auto"/>
              <w:jc w:val="right"/>
              <w:rPr>
                <w:rFonts w:cs="Arial"/>
                <w:b/>
                <w:lang w:eastAsia="en-GB"/>
              </w:rPr>
            </w:pPr>
          </w:p>
        </w:tc>
        <w:tc>
          <w:tcPr>
            <w:tcW w:w="1267" w:type="dxa"/>
            <w:shd w:val="clear" w:color="auto" w:fill="auto"/>
            <w:vAlign w:val="bottom"/>
          </w:tcPr>
          <w:p w:rsidR="00B06504" w:rsidRPr="00686F58" w:rsidRDefault="009E0214" w:rsidP="00B06504">
            <w:pPr>
              <w:spacing w:line="276" w:lineRule="auto"/>
              <w:jc w:val="right"/>
              <w:rPr>
                <w:rFonts w:cs="Arial"/>
                <w:b/>
              </w:rPr>
            </w:pPr>
          </w:p>
        </w:tc>
        <w:tc>
          <w:tcPr>
            <w:tcW w:w="1268" w:type="dxa"/>
            <w:shd w:val="clear" w:color="auto" w:fill="auto"/>
            <w:vAlign w:val="bottom"/>
          </w:tcPr>
          <w:p w:rsidR="00B06504" w:rsidRPr="00686F58" w:rsidRDefault="009E0214" w:rsidP="00B06504">
            <w:pPr>
              <w:spacing w:line="276" w:lineRule="auto"/>
              <w:jc w:val="right"/>
              <w:rPr>
                <w:rFonts w:cs="Arial"/>
                <w:b/>
              </w:rPr>
            </w:pPr>
          </w:p>
        </w:tc>
        <w:tc>
          <w:tcPr>
            <w:tcW w:w="1251" w:type="dxa"/>
            <w:shd w:val="clear" w:color="auto" w:fill="auto"/>
            <w:vAlign w:val="center"/>
          </w:tcPr>
          <w:p w:rsidR="00B06504" w:rsidRPr="00686F58" w:rsidRDefault="009E0214" w:rsidP="00B06504">
            <w:pPr>
              <w:spacing w:after="0" w:line="276" w:lineRule="auto"/>
              <w:jc w:val="right"/>
              <w:rPr>
                <w:rFonts w:cs="Arial"/>
                <w:b/>
              </w:rPr>
            </w:pPr>
          </w:p>
        </w:tc>
      </w:tr>
      <w:tr w:rsidR="00F0025F" w:rsidTr="00E63635">
        <w:trPr>
          <w:trHeight w:val="552"/>
          <w:jc w:val="center"/>
        </w:trPr>
        <w:tc>
          <w:tcPr>
            <w:tcW w:w="3114" w:type="dxa"/>
            <w:shd w:val="clear" w:color="auto" w:fill="auto"/>
            <w:vAlign w:val="center"/>
          </w:tcPr>
          <w:p w:rsidR="00DD56B3" w:rsidRPr="00686F58" w:rsidRDefault="00A445D6" w:rsidP="00DD56B3">
            <w:pPr>
              <w:pStyle w:val="NoSpacing"/>
              <w:spacing w:line="276" w:lineRule="auto"/>
              <w:rPr>
                <w:rFonts w:cs="Arial"/>
                <w:b/>
                <w:szCs w:val="24"/>
              </w:rPr>
            </w:pPr>
            <w:r w:rsidRPr="00686F58">
              <w:rPr>
                <w:rFonts w:cs="Arial"/>
                <w:b/>
                <w:szCs w:val="24"/>
              </w:rPr>
              <w:t>Funding - Previous MTFS</w:t>
            </w:r>
          </w:p>
        </w:tc>
        <w:tc>
          <w:tcPr>
            <w:tcW w:w="1284" w:type="dxa"/>
            <w:shd w:val="clear" w:color="auto" w:fill="auto"/>
            <w:vAlign w:val="bottom"/>
          </w:tcPr>
          <w:p w:rsidR="00DD56B3" w:rsidRPr="00686F58" w:rsidRDefault="00A445D6" w:rsidP="00DD56B3">
            <w:pPr>
              <w:spacing w:line="276" w:lineRule="auto"/>
              <w:jc w:val="right"/>
              <w:rPr>
                <w:rFonts w:cs="Arial"/>
                <w:b/>
                <w:lang w:eastAsia="en-GB"/>
              </w:rPr>
            </w:pPr>
            <w:r>
              <w:rPr>
                <w:rFonts w:cs="Arial"/>
                <w:b/>
                <w:lang w:eastAsia="en-GB"/>
              </w:rPr>
              <w:t>792.722</w:t>
            </w:r>
          </w:p>
        </w:tc>
        <w:tc>
          <w:tcPr>
            <w:tcW w:w="1267" w:type="dxa"/>
            <w:shd w:val="clear" w:color="auto" w:fill="auto"/>
            <w:vAlign w:val="bottom"/>
          </w:tcPr>
          <w:p w:rsidR="00DD56B3" w:rsidRPr="00686F58" w:rsidRDefault="00A445D6" w:rsidP="00DD56B3">
            <w:pPr>
              <w:spacing w:line="276" w:lineRule="auto"/>
              <w:jc w:val="right"/>
              <w:rPr>
                <w:rFonts w:cs="Arial"/>
                <w:b/>
                <w:lang w:eastAsia="en-GB"/>
              </w:rPr>
            </w:pPr>
            <w:r>
              <w:rPr>
                <w:rFonts w:cs="Arial"/>
                <w:b/>
                <w:lang w:eastAsia="en-GB"/>
              </w:rPr>
              <w:t>780.931</w:t>
            </w:r>
          </w:p>
        </w:tc>
        <w:tc>
          <w:tcPr>
            <w:tcW w:w="1268" w:type="dxa"/>
            <w:shd w:val="clear" w:color="auto" w:fill="auto"/>
            <w:vAlign w:val="bottom"/>
          </w:tcPr>
          <w:p w:rsidR="00DD56B3" w:rsidRPr="00686F58" w:rsidRDefault="00A445D6" w:rsidP="00DD56B3">
            <w:pPr>
              <w:spacing w:line="276" w:lineRule="auto"/>
              <w:jc w:val="right"/>
              <w:rPr>
                <w:rFonts w:cs="Arial"/>
                <w:b/>
                <w:lang w:eastAsia="en-GB"/>
              </w:rPr>
            </w:pPr>
            <w:r>
              <w:rPr>
                <w:rFonts w:cs="Arial"/>
                <w:b/>
                <w:lang w:eastAsia="en-GB"/>
              </w:rPr>
              <w:t>798.502</w:t>
            </w:r>
          </w:p>
        </w:tc>
        <w:tc>
          <w:tcPr>
            <w:tcW w:w="1251" w:type="dxa"/>
            <w:shd w:val="clear" w:color="auto" w:fill="auto"/>
            <w:vAlign w:val="center"/>
          </w:tcPr>
          <w:p w:rsidR="00DD56B3" w:rsidRPr="00686F58" w:rsidRDefault="00A445D6" w:rsidP="00DD56B3">
            <w:pPr>
              <w:spacing w:after="0" w:line="276" w:lineRule="auto"/>
              <w:jc w:val="right"/>
              <w:rPr>
                <w:rFonts w:cs="Arial"/>
                <w:b/>
              </w:rPr>
            </w:pPr>
            <w:r>
              <w:rPr>
                <w:rFonts w:cs="Arial"/>
                <w:b/>
              </w:rPr>
              <w:t>823.963</w:t>
            </w:r>
          </w:p>
        </w:tc>
      </w:tr>
      <w:tr w:rsidR="00F0025F" w:rsidTr="00E63635">
        <w:trPr>
          <w:trHeight w:val="552"/>
          <w:jc w:val="center"/>
        </w:trPr>
        <w:tc>
          <w:tcPr>
            <w:tcW w:w="3114" w:type="dxa"/>
            <w:shd w:val="clear" w:color="auto" w:fill="BFBFBF" w:themeFill="background1" w:themeFillShade="BF"/>
            <w:vAlign w:val="center"/>
          </w:tcPr>
          <w:p w:rsidR="00B06504" w:rsidRPr="00686F58" w:rsidRDefault="00A445D6" w:rsidP="00B06504">
            <w:pPr>
              <w:pStyle w:val="NoSpacing"/>
              <w:spacing w:line="276" w:lineRule="auto"/>
              <w:jc w:val="both"/>
              <w:rPr>
                <w:rFonts w:cs="Arial"/>
                <w:b/>
                <w:szCs w:val="24"/>
              </w:rPr>
            </w:pPr>
            <w:r w:rsidRPr="00686F58">
              <w:rPr>
                <w:rFonts w:cs="Arial"/>
                <w:b/>
                <w:szCs w:val="24"/>
              </w:rPr>
              <w:t xml:space="preserve">Variance </w:t>
            </w:r>
          </w:p>
        </w:tc>
        <w:tc>
          <w:tcPr>
            <w:tcW w:w="1284" w:type="dxa"/>
            <w:shd w:val="clear" w:color="auto" w:fill="BFBFBF" w:themeFill="background1" w:themeFillShade="BF"/>
            <w:vAlign w:val="bottom"/>
          </w:tcPr>
          <w:p w:rsidR="00B06504" w:rsidRPr="00686F58" w:rsidRDefault="00A445D6" w:rsidP="00B06504">
            <w:pPr>
              <w:spacing w:line="276" w:lineRule="auto"/>
              <w:jc w:val="right"/>
              <w:rPr>
                <w:rFonts w:cs="Arial"/>
                <w:b/>
                <w:lang w:eastAsia="en-GB"/>
              </w:rPr>
            </w:pPr>
            <w:r>
              <w:rPr>
                <w:rFonts w:cs="Arial"/>
                <w:b/>
                <w:lang w:eastAsia="en-GB"/>
              </w:rPr>
              <w:t>5.426</w:t>
            </w:r>
          </w:p>
        </w:tc>
        <w:tc>
          <w:tcPr>
            <w:tcW w:w="1267" w:type="dxa"/>
            <w:shd w:val="clear" w:color="auto" w:fill="BFBFBF" w:themeFill="background1" w:themeFillShade="BF"/>
            <w:vAlign w:val="bottom"/>
          </w:tcPr>
          <w:p w:rsidR="00B06504" w:rsidRPr="00686F58" w:rsidRDefault="00A445D6" w:rsidP="00E63635">
            <w:pPr>
              <w:spacing w:line="276" w:lineRule="auto"/>
              <w:jc w:val="right"/>
              <w:rPr>
                <w:rFonts w:cs="Arial"/>
                <w:b/>
              </w:rPr>
            </w:pPr>
            <w:r>
              <w:rPr>
                <w:rFonts w:cs="Arial"/>
                <w:b/>
              </w:rPr>
              <w:t>0.507</w:t>
            </w:r>
          </w:p>
        </w:tc>
        <w:tc>
          <w:tcPr>
            <w:tcW w:w="1268" w:type="dxa"/>
            <w:shd w:val="clear" w:color="auto" w:fill="BFBFBF" w:themeFill="background1" w:themeFillShade="BF"/>
            <w:vAlign w:val="bottom"/>
          </w:tcPr>
          <w:p w:rsidR="00B06504" w:rsidRPr="00686F58" w:rsidRDefault="00A445D6" w:rsidP="0014515A">
            <w:pPr>
              <w:spacing w:line="276" w:lineRule="auto"/>
              <w:jc w:val="right"/>
              <w:rPr>
                <w:rFonts w:cs="Arial"/>
                <w:b/>
              </w:rPr>
            </w:pPr>
            <w:r>
              <w:rPr>
                <w:rFonts w:cs="Arial"/>
                <w:b/>
              </w:rPr>
              <w:t>0.507</w:t>
            </w:r>
          </w:p>
        </w:tc>
        <w:tc>
          <w:tcPr>
            <w:tcW w:w="1251" w:type="dxa"/>
            <w:shd w:val="clear" w:color="auto" w:fill="BFBFBF" w:themeFill="background1" w:themeFillShade="BF"/>
            <w:vAlign w:val="center"/>
          </w:tcPr>
          <w:p w:rsidR="00B06504" w:rsidRPr="00686F58" w:rsidRDefault="00A445D6" w:rsidP="001E5B0C">
            <w:pPr>
              <w:spacing w:after="0" w:line="276" w:lineRule="auto"/>
              <w:jc w:val="right"/>
              <w:rPr>
                <w:rFonts w:cs="Arial"/>
                <w:b/>
              </w:rPr>
            </w:pPr>
            <w:r>
              <w:rPr>
                <w:rFonts w:cs="Arial"/>
                <w:b/>
              </w:rPr>
              <w:t>0.507</w:t>
            </w:r>
          </w:p>
        </w:tc>
      </w:tr>
      <w:tr w:rsidR="00F0025F" w:rsidTr="00E63635">
        <w:trPr>
          <w:trHeight w:val="552"/>
          <w:jc w:val="center"/>
        </w:trPr>
        <w:tc>
          <w:tcPr>
            <w:tcW w:w="3114" w:type="dxa"/>
            <w:shd w:val="clear" w:color="auto" w:fill="BFBFBF" w:themeFill="background1" w:themeFillShade="BF"/>
            <w:vAlign w:val="center"/>
          </w:tcPr>
          <w:p w:rsidR="0014515A" w:rsidRPr="00686F58" w:rsidRDefault="00A445D6" w:rsidP="0014515A">
            <w:pPr>
              <w:pStyle w:val="NoSpacing"/>
              <w:spacing w:line="276" w:lineRule="auto"/>
              <w:jc w:val="both"/>
              <w:rPr>
                <w:rFonts w:cs="Arial"/>
                <w:b/>
                <w:szCs w:val="24"/>
              </w:rPr>
            </w:pPr>
            <w:r w:rsidRPr="00686F58">
              <w:rPr>
                <w:rFonts w:cs="Arial"/>
                <w:b/>
                <w:szCs w:val="24"/>
              </w:rPr>
              <w:t>Impact on financial gap</w:t>
            </w:r>
          </w:p>
        </w:tc>
        <w:tc>
          <w:tcPr>
            <w:tcW w:w="1284" w:type="dxa"/>
            <w:shd w:val="clear" w:color="auto" w:fill="BFBFBF" w:themeFill="background1" w:themeFillShade="BF"/>
            <w:vAlign w:val="bottom"/>
          </w:tcPr>
          <w:p w:rsidR="0014515A" w:rsidRPr="00686F58" w:rsidRDefault="00A445D6" w:rsidP="003D1BBF">
            <w:pPr>
              <w:spacing w:line="276" w:lineRule="auto"/>
              <w:jc w:val="right"/>
              <w:rPr>
                <w:rFonts w:cs="Arial"/>
                <w:b/>
                <w:lang w:eastAsia="en-GB"/>
              </w:rPr>
            </w:pPr>
            <w:r>
              <w:rPr>
                <w:rFonts w:cs="Arial"/>
                <w:b/>
                <w:lang w:eastAsia="en-GB"/>
              </w:rPr>
              <w:t>-5.426</w:t>
            </w:r>
          </w:p>
        </w:tc>
        <w:tc>
          <w:tcPr>
            <w:tcW w:w="1267" w:type="dxa"/>
            <w:shd w:val="clear" w:color="auto" w:fill="BFBFBF" w:themeFill="background1" w:themeFillShade="BF"/>
            <w:vAlign w:val="bottom"/>
          </w:tcPr>
          <w:p w:rsidR="0014515A" w:rsidRPr="00686F58" w:rsidRDefault="00A445D6" w:rsidP="0014515A">
            <w:pPr>
              <w:spacing w:line="276" w:lineRule="auto"/>
              <w:jc w:val="right"/>
              <w:rPr>
                <w:rFonts w:cs="Arial"/>
                <w:b/>
              </w:rPr>
            </w:pPr>
            <w:r>
              <w:rPr>
                <w:rFonts w:cs="Arial"/>
                <w:b/>
              </w:rPr>
              <w:t>4.919</w:t>
            </w:r>
          </w:p>
        </w:tc>
        <w:tc>
          <w:tcPr>
            <w:tcW w:w="1268" w:type="dxa"/>
            <w:shd w:val="clear" w:color="auto" w:fill="BFBFBF" w:themeFill="background1" w:themeFillShade="BF"/>
            <w:vAlign w:val="bottom"/>
          </w:tcPr>
          <w:p w:rsidR="0014515A" w:rsidRPr="00686F58" w:rsidRDefault="00A445D6" w:rsidP="0014515A">
            <w:pPr>
              <w:spacing w:line="276" w:lineRule="auto"/>
              <w:jc w:val="right"/>
              <w:rPr>
                <w:rFonts w:cs="Arial"/>
                <w:b/>
              </w:rPr>
            </w:pPr>
            <w:r>
              <w:rPr>
                <w:rFonts w:cs="Arial"/>
                <w:b/>
              </w:rPr>
              <w:t>0.000</w:t>
            </w:r>
          </w:p>
        </w:tc>
        <w:tc>
          <w:tcPr>
            <w:tcW w:w="1251" w:type="dxa"/>
            <w:shd w:val="clear" w:color="auto" w:fill="BFBFBF" w:themeFill="background1" w:themeFillShade="BF"/>
            <w:vAlign w:val="center"/>
          </w:tcPr>
          <w:p w:rsidR="0014515A" w:rsidRPr="00686F58" w:rsidRDefault="00A445D6" w:rsidP="0014515A">
            <w:pPr>
              <w:spacing w:after="0" w:line="276" w:lineRule="auto"/>
              <w:jc w:val="right"/>
              <w:rPr>
                <w:rFonts w:cs="Arial"/>
                <w:b/>
              </w:rPr>
            </w:pPr>
            <w:r>
              <w:rPr>
                <w:rFonts w:cs="Arial"/>
                <w:b/>
              </w:rPr>
              <w:t>0.000</w:t>
            </w:r>
          </w:p>
        </w:tc>
      </w:tr>
    </w:tbl>
    <w:p w:rsidR="00C7724A" w:rsidRPr="005B5485" w:rsidRDefault="009E0214" w:rsidP="00B06504">
      <w:pPr>
        <w:spacing w:after="0"/>
        <w:rPr>
          <w:rFonts w:cs="Arial"/>
          <w:b/>
          <w:highlight w:val="yellow"/>
        </w:rPr>
      </w:pPr>
    </w:p>
    <w:p w:rsidR="00145244" w:rsidRPr="005B5485" w:rsidRDefault="009E0214" w:rsidP="00B06504">
      <w:pPr>
        <w:spacing w:after="0"/>
        <w:rPr>
          <w:rFonts w:cs="Arial"/>
          <w:b/>
          <w:highlight w:val="yellow"/>
        </w:rPr>
      </w:pPr>
    </w:p>
    <w:p w:rsidR="00B06504" w:rsidRPr="00DD56B3" w:rsidRDefault="00A445D6" w:rsidP="00B06504">
      <w:pPr>
        <w:spacing w:after="0"/>
        <w:rPr>
          <w:rFonts w:cs="Arial"/>
          <w:b/>
        </w:rPr>
      </w:pPr>
      <w:r w:rsidRPr="00DD56B3">
        <w:rPr>
          <w:rFonts w:cs="Arial"/>
          <w:b/>
        </w:rPr>
        <w:t xml:space="preserve">2.1 Council Tax and Business Rates </w:t>
      </w:r>
    </w:p>
    <w:p w:rsidR="00B06504" w:rsidRPr="00DD56B3" w:rsidRDefault="009E0214" w:rsidP="00B06504">
      <w:pPr>
        <w:spacing w:after="0"/>
        <w:rPr>
          <w:rFonts w:cs="Arial"/>
        </w:rPr>
      </w:pPr>
    </w:p>
    <w:p w:rsidR="00B06504" w:rsidRPr="00DD56B3" w:rsidRDefault="00A445D6" w:rsidP="00B06504">
      <w:pPr>
        <w:spacing w:after="0"/>
        <w:rPr>
          <w:rFonts w:cs="Arial"/>
          <w:b/>
          <w:i/>
        </w:rPr>
      </w:pPr>
      <w:r w:rsidRPr="00DD56B3">
        <w:rPr>
          <w:rFonts w:cs="Arial"/>
          <w:b/>
          <w:i/>
        </w:rPr>
        <w:t>2.11 Council Tax</w:t>
      </w:r>
    </w:p>
    <w:p w:rsidR="00B06504" w:rsidRPr="005B5485" w:rsidRDefault="009E0214" w:rsidP="00B06504">
      <w:pPr>
        <w:spacing w:after="0"/>
        <w:rPr>
          <w:rFonts w:cs="Arial"/>
          <w:b/>
          <w:i/>
          <w:highlight w:val="yellow"/>
        </w:rPr>
      </w:pPr>
    </w:p>
    <w:p w:rsidR="00B06504" w:rsidRPr="00DD56B3" w:rsidRDefault="00A445D6" w:rsidP="00B06504">
      <w:pPr>
        <w:spacing w:after="0"/>
        <w:rPr>
          <w:rFonts w:cs="Arial"/>
        </w:rPr>
      </w:pPr>
      <w:r w:rsidRPr="00DD56B3">
        <w:rPr>
          <w:rFonts w:cs="Arial"/>
        </w:rPr>
        <w:t xml:space="preserve">The MTFS currently reflects the following assumptions in relation to the county council's council tax increases as previously reported to cabinet, however this is a decision for full council to make each year when setting the budget.  </w:t>
      </w:r>
    </w:p>
    <w:p w:rsidR="00B06504" w:rsidRDefault="009E0214" w:rsidP="00B06504">
      <w:pPr>
        <w:spacing w:after="0"/>
        <w:rPr>
          <w:rFonts w:cs="Arial"/>
          <w:highlight w:val="yellow"/>
        </w:rPr>
      </w:pPr>
    </w:p>
    <w:p w:rsidR="00DD1B77" w:rsidRDefault="009E0214" w:rsidP="00B06504">
      <w:pPr>
        <w:spacing w:after="0"/>
        <w:rPr>
          <w:rFonts w:cs="Arial"/>
          <w:highlight w:val="yellow"/>
        </w:rPr>
      </w:pPr>
    </w:p>
    <w:p w:rsidR="002A484D" w:rsidRDefault="009E0214" w:rsidP="00B06504">
      <w:pPr>
        <w:spacing w:after="0"/>
        <w:rPr>
          <w:rFonts w:cs="Arial"/>
          <w:highlight w:val="yellow"/>
        </w:rPr>
      </w:pPr>
    </w:p>
    <w:p w:rsidR="007446EE" w:rsidRDefault="009E0214" w:rsidP="00B06504">
      <w:pPr>
        <w:spacing w:after="0"/>
        <w:rPr>
          <w:rFonts w:cs="Arial"/>
          <w:highlight w:val="yellow"/>
        </w:rPr>
      </w:pPr>
    </w:p>
    <w:p w:rsidR="00B06504" w:rsidRPr="00DD56B3" w:rsidRDefault="00A445D6" w:rsidP="00B06504">
      <w:pPr>
        <w:spacing w:after="0"/>
        <w:rPr>
          <w:rFonts w:cs="Arial"/>
          <w:b/>
          <w:i/>
          <w:u w:val="single"/>
        </w:rPr>
      </w:pPr>
      <w:r w:rsidRPr="00DD56B3">
        <w:rPr>
          <w:rFonts w:cs="Arial"/>
          <w:b/>
          <w:i/>
          <w:u w:val="single"/>
        </w:rPr>
        <w:t>Table 3</w:t>
      </w:r>
    </w:p>
    <w:p w:rsidR="00B06504" w:rsidRPr="005B5485" w:rsidRDefault="009E0214" w:rsidP="00B06504">
      <w:pPr>
        <w:spacing w:after="0"/>
        <w:rPr>
          <w:rFonts w:cs="Arial"/>
          <w:highlight w:val="yellow"/>
        </w:rPr>
      </w:pPr>
    </w:p>
    <w:tbl>
      <w:tblPr>
        <w:tblStyle w:val="TableGrid"/>
        <w:tblW w:w="0" w:type="auto"/>
        <w:tblLook w:val="04A0" w:firstRow="1" w:lastRow="0" w:firstColumn="1" w:lastColumn="0" w:noHBand="0" w:noVBand="1"/>
      </w:tblPr>
      <w:tblGrid>
        <w:gridCol w:w="1129"/>
        <w:gridCol w:w="2552"/>
        <w:gridCol w:w="1778"/>
        <w:gridCol w:w="1778"/>
        <w:gridCol w:w="1779"/>
      </w:tblGrid>
      <w:tr w:rsidR="00F0025F" w:rsidTr="00DD56B3">
        <w:tc>
          <w:tcPr>
            <w:tcW w:w="1129" w:type="dxa"/>
          </w:tcPr>
          <w:p w:rsidR="00B06504" w:rsidRPr="005B5485" w:rsidRDefault="009E0214" w:rsidP="00B06504">
            <w:pPr>
              <w:spacing w:after="0"/>
              <w:rPr>
                <w:rFonts w:cs="Arial"/>
                <w:highlight w:val="yellow"/>
              </w:rPr>
            </w:pPr>
          </w:p>
        </w:tc>
        <w:tc>
          <w:tcPr>
            <w:tcW w:w="2552" w:type="dxa"/>
            <w:vAlign w:val="center"/>
          </w:tcPr>
          <w:p w:rsidR="00B06504" w:rsidRPr="00DD56B3" w:rsidRDefault="00A445D6" w:rsidP="00DD56B3">
            <w:pPr>
              <w:spacing w:after="0"/>
              <w:jc w:val="center"/>
              <w:rPr>
                <w:rFonts w:cs="Arial"/>
                <w:highlight w:val="yellow"/>
              </w:rPr>
            </w:pPr>
            <w:r w:rsidRPr="00DD56B3">
              <w:rPr>
                <w:rFonts w:cs="Arial"/>
              </w:rPr>
              <w:t>Council Tax increase (no referendum required)</w:t>
            </w:r>
          </w:p>
        </w:tc>
        <w:tc>
          <w:tcPr>
            <w:tcW w:w="1778" w:type="dxa"/>
            <w:vAlign w:val="center"/>
          </w:tcPr>
          <w:p w:rsidR="00B06504" w:rsidRPr="00DD56B3" w:rsidRDefault="00A445D6" w:rsidP="00B06504">
            <w:pPr>
              <w:spacing w:after="0"/>
              <w:jc w:val="center"/>
              <w:rPr>
                <w:rFonts w:cs="Arial"/>
              </w:rPr>
            </w:pPr>
            <w:r w:rsidRPr="00DD56B3">
              <w:rPr>
                <w:rFonts w:cs="Arial"/>
              </w:rPr>
              <w:t>Additional council tax flexibility</w:t>
            </w:r>
          </w:p>
        </w:tc>
        <w:tc>
          <w:tcPr>
            <w:tcW w:w="1778" w:type="dxa"/>
            <w:vAlign w:val="center"/>
          </w:tcPr>
          <w:p w:rsidR="00B06504" w:rsidRPr="00DD56B3" w:rsidRDefault="00A445D6" w:rsidP="00B06504">
            <w:pPr>
              <w:spacing w:after="0"/>
              <w:jc w:val="center"/>
              <w:rPr>
                <w:rFonts w:cs="Arial"/>
              </w:rPr>
            </w:pPr>
            <w:r w:rsidRPr="00DD56B3">
              <w:rPr>
                <w:rFonts w:cs="Arial"/>
              </w:rPr>
              <w:t>Adult Social Care Precept</w:t>
            </w:r>
          </w:p>
        </w:tc>
        <w:tc>
          <w:tcPr>
            <w:tcW w:w="1779" w:type="dxa"/>
            <w:vAlign w:val="center"/>
          </w:tcPr>
          <w:p w:rsidR="00B06504" w:rsidRPr="00DD56B3" w:rsidRDefault="00A445D6" w:rsidP="00B06504">
            <w:pPr>
              <w:spacing w:after="0"/>
              <w:jc w:val="center"/>
              <w:rPr>
                <w:rFonts w:cs="Arial"/>
              </w:rPr>
            </w:pPr>
            <w:r w:rsidRPr="00DD56B3">
              <w:rPr>
                <w:rFonts w:cs="Arial"/>
              </w:rPr>
              <w:t>Total council tax increase</w:t>
            </w:r>
          </w:p>
        </w:tc>
      </w:tr>
      <w:tr w:rsidR="00F0025F" w:rsidTr="00DD56B3">
        <w:tc>
          <w:tcPr>
            <w:tcW w:w="1129" w:type="dxa"/>
          </w:tcPr>
          <w:p w:rsidR="00B06504" w:rsidRPr="00DD56B3" w:rsidRDefault="00A445D6" w:rsidP="00B06504">
            <w:pPr>
              <w:spacing w:after="0"/>
              <w:rPr>
                <w:rFonts w:cs="Arial"/>
              </w:rPr>
            </w:pPr>
            <w:r w:rsidRPr="00DD56B3">
              <w:rPr>
                <w:rFonts w:cs="Arial"/>
              </w:rPr>
              <w:t>2019/20</w:t>
            </w:r>
          </w:p>
        </w:tc>
        <w:tc>
          <w:tcPr>
            <w:tcW w:w="2552" w:type="dxa"/>
          </w:tcPr>
          <w:p w:rsidR="00B06504" w:rsidRPr="00DD56B3" w:rsidRDefault="00A445D6" w:rsidP="00B06504">
            <w:pPr>
              <w:spacing w:after="0"/>
              <w:jc w:val="right"/>
              <w:rPr>
                <w:rFonts w:cs="Arial"/>
              </w:rPr>
            </w:pPr>
            <w:r w:rsidRPr="00DD56B3">
              <w:rPr>
                <w:rFonts w:cs="Arial"/>
              </w:rPr>
              <w:t>1.99%</w:t>
            </w:r>
          </w:p>
        </w:tc>
        <w:tc>
          <w:tcPr>
            <w:tcW w:w="1778" w:type="dxa"/>
          </w:tcPr>
          <w:p w:rsidR="00B06504" w:rsidRPr="00DD56B3" w:rsidRDefault="00A445D6" w:rsidP="00B06504">
            <w:pPr>
              <w:spacing w:after="0"/>
              <w:jc w:val="right"/>
              <w:rPr>
                <w:rFonts w:cs="Arial"/>
              </w:rPr>
            </w:pPr>
            <w:r w:rsidRPr="00DD56B3">
              <w:rPr>
                <w:rFonts w:cs="Arial"/>
              </w:rPr>
              <w:t>1.00%</w:t>
            </w:r>
          </w:p>
        </w:tc>
        <w:tc>
          <w:tcPr>
            <w:tcW w:w="1778" w:type="dxa"/>
          </w:tcPr>
          <w:p w:rsidR="00B06504" w:rsidRPr="00DD56B3" w:rsidRDefault="00A445D6" w:rsidP="00B06504">
            <w:pPr>
              <w:spacing w:after="0"/>
              <w:jc w:val="right"/>
              <w:rPr>
                <w:rFonts w:cs="Arial"/>
              </w:rPr>
            </w:pPr>
            <w:r w:rsidRPr="00DD56B3">
              <w:rPr>
                <w:rFonts w:cs="Arial"/>
              </w:rPr>
              <w:t>1.00%</w:t>
            </w:r>
          </w:p>
        </w:tc>
        <w:tc>
          <w:tcPr>
            <w:tcW w:w="1779" w:type="dxa"/>
          </w:tcPr>
          <w:p w:rsidR="00B06504" w:rsidRPr="00DD56B3" w:rsidRDefault="00A445D6" w:rsidP="00B06504">
            <w:pPr>
              <w:spacing w:after="0"/>
              <w:jc w:val="right"/>
              <w:rPr>
                <w:rFonts w:cs="Arial"/>
              </w:rPr>
            </w:pPr>
            <w:r w:rsidRPr="00DD56B3">
              <w:rPr>
                <w:rFonts w:cs="Arial"/>
              </w:rPr>
              <w:t>3.99%</w:t>
            </w:r>
          </w:p>
        </w:tc>
      </w:tr>
      <w:tr w:rsidR="00F0025F" w:rsidTr="00DD56B3">
        <w:tc>
          <w:tcPr>
            <w:tcW w:w="1129" w:type="dxa"/>
          </w:tcPr>
          <w:p w:rsidR="00B06504" w:rsidRPr="00DD56B3" w:rsidRDefault="00A445D6" w:rsidP="00B06504">
            <w:pPr>
              <w:spacing w:after="0"/>
              <w:rPr>
                <w:rFonts w:cs="Arial"/>
              </w:rPr>
            </w:pPr>
            <w:r w:rsidRPr="00DD56B3">
              <w:rPr>
                <w:rFonts w:cs="Arial"/>
              </w:rPr>
              <w:t>2020/21</w:t>
            </w:r>
          </w:p>
        </w:tc>
        <w:tc>
          <w:tcPr>
            <w:tcW w:w="2552" w:type="dxa"/>
          </w:tcPr>
          <w:p w:rsidR="00B06504" w:rsidRPr="00DD56B3" w:rsidRDefault="00A445D6" w:rsidP="00B06504">
            <w:pPr>
              <w:spacing w:after="0"/>
              <w:jc w:val="right"/>
              <w:rPr>
                <w:rFonts w:cs="Arial"/>
              </w:rPr>
            </w:pPr>
            <w:r w:rsidRPr="00DD56B3">
              <w:rPr>
                <w:rFonts w:cs="Arial"/>
              </w:rPr>
              <w:t>1.99%</w:t>
            </w:r>
          </w:p>
        </w:tc>
        <w:tc>
          <w:tcPr>
            <w:tcW w:w="1778" w:type="dxa"/>
          </w:tcPr>
          <w:p w:rsidR="00B06504" w:rsidRPr="00DD56B3" w:rsidRDefault="009E0214" w:rsidP="00B06504">
            <w:pPr>
              <w:spacing w:after="0"/>
              <w:jc w:val="right"/>
              <w:rPr>
                <w:rFonts w:cs="Arial"/>
              </w:rPr>
            </w:pPr>
          </w:p>
        </w:tc>
        <w:tc>
          <w:tcPr>
            <w:tcW w:w="1778" w:type="dxa"/>
          </w:tcPr>
          <w:p w:rsidR="00B06504" w:rsidRPr="00DD56B3" w:rsidRDefault="009E0214" w:rsidP="00B06504">
            <w:pPr>
              <w:spacing w:after="0"/>
              <w:jc w:val="right"/>
              <w:rPr>
                <w:rFonts w:cs="Arial"/>
              </w:rPr>
            </w:pPr>
          </w:p>
        </w:tc>
        <w:tc>
          <w:tcPr>
            <w:tcW w:w="1779" w:type="dxa"/>
          </w:tcPr>
          <w:p w:rsidR="00B06504" w:rsidRPr="00DD56B3" w:rsidRDefault="00A445D6" w:rsidP="00B06504">
            <w:pPr>
              <w:spacing w:after="0"/>
              <w:jc w:val="right"/>
              <w:rPr>
                <w:rFonts w:cs="Arial"/>
              </w:rPr>
            </w:pPr>
            <w:r w:rsidRPr="00DD56B3">
              <w:rPr>
                <w:rFonts w:cs="Arial"/>
              </w:rPr>
              <w:t>1.99%</w:t>
            </w:r>
          </w:p>
        </w:tc>
      </w:tr>
      <w:tr w:rsidR="00F0025F" w:rsidTr="00DD56B3">
        <w:tc>
          <w:tcPr>
            <w:tcW w:w="1129" w:type="dxa"/>
          </w:tcPr>
          <w:p w:rsidR="00B06504" w:rsidRPr="00DD56B3" w:rsidRDefault="00A445D6" w:rsidP="00B06504">
            <w:pPr>
              <w:spacing w:after="0"/>
              <w:rPr>
                <w:rFonts w:cs="Arial"/>
              </w:rPr>
            </w:pPr>
            <w:r w:rsidRPr="00DD56B3">
              <w:rPr>
                <w:rFonts w:cs="Arial"/>
              </w:rPr>
              <w:t>2021/22</w:t>
            </w:r>
          </w:p>
        </w:tc>
        <w:tc>
          <w:tcPr>
            <w:tcW w:w="2552" w:type="dxa"/>
          </w:tcPr>
          <w:p w:rsidR="00B06504" w:rsidRPr="00DD56B3" w:rsidRDefault="00A445D6" w:rsidP="00B06504">
            <w:pPr>
              <w:spacing w:after="0"/>
              <w:jc w:val="right"/>
              <w:rPr>
                <w:rFonts w:cs="Arial"/>
              </w:rPr>
            </w:pPr>
            <w:r w:rsidRPr="00DD56B3">
              <w:rPr>
                <w:rFonts w:cs="Arial"/>
              </w:rPr>
              <w:t>1.99%</w:t>
            </w:r>
          </w:p>
        </w:tc>
        <w:tc>
          <w:tcPr>
            <w:tcW w:w="1778" w:type="dxa"/>
          </w:tcPr>
          <w:p w:rsidR="00B06504" w:rsidRPr="00DD56B3" w:rsidRDefault="009E0214" w:rsidP="00B06504">
            <w:pPr>
              <w:spacing w:after="0"/>
              <w:jc w:val="right"/>
              <w:rPr>
                <w:rFonts w:cs="Arial"/>
              </w:rPr>
            </w:pPr>
          </w:p>
        </w:tc>
        <w:tc>
          <w:tcPr>
            <w:tcW w:w="1778" w:type="dxa"/>
          </w:tcPr>
          <w:p w:rsidR="00B06504" w:rsidRPr="00DD56B3" w:rsidRDefault="009E0214" w:rsidP="00B06504">
            <w:pPr>
              <w:spacing w:after="0"/>
              <w:jc w:val="right"/>
              <w:rPr>
                <w:rFonts w:cs="Arial"/>
              </w:rPr>
            </w:pPr>
          </w:p>
        </w:tc>
        <w:tc>
          <w:tcPr>
            <w:tcW w:w="1779" w:type="dxa"/>
          </w:tcPr>
          <w:p w:rsidR="00B06504" w:rsidRPr="00DD56B3" w:rsidRDefault="00A445D6" w:rsidP="00B06504">
            <w:pPr>
              <w:spacing w:after="0"/>
              <w:jc w:val="right"/>
              <w:rPr>
                <w:rFonts w:cs="Arial"/>
              </w:rPr>
            </w:pPr>
            <w:r w:rsidRPr="00DD56B3">
              <w:rPr>
                <w:rFonts w:cs="Arial"/>
              </w:rPr>
              <w:t>1.99%</w:t>
            </w:r>
          </w:p>
        </w:tc>
      </w:tr>
      <w:tr w:rsidR="00F0025F" w:rsidTr="00DD56B3">
        <w:tc>
          <w:tcPr>
            <w:tcW w:w="1129" w:type="dxa"/>
          </w:tcPr>
          <w:p w:rsidR="00B06504" w:rsidRPr="00DD56B3" w:rsidRDefault="00A445D6" w:rsidP="00B06504">
            <w:pPr>
              <w:spacing w:after="0"/>
              <w:rPr>
                <w:rFonts w:cs="Arial"/>
              </w:rPr>
            </w:pPr>
            <w:r w:rsidRPr="00DD56B3">
              <w:rPr>
                <w:rFonts w:cs="Arial"/>
              </w:rPr>
              <w:t>2022/23</w:t>
            </w:r>
          </w:p>
        </w:tc>
        <w:tc>
          <w:tcPr>
            <w:tcW w:w="2552" w:type="dxa"/>
          </w:tcPr>
          <w:p w:rsidR="00B06504" w:rsidRPr="00DD56B3" w:rsidRDefault="00A445D6" w:rsidP="00B06504">
            <w:pPr>
              <w:spacing w:after="0"/>
              <w:jc w:val="right"/>
              <w:rPr>
                <w:rFonts w:cs="Arial"/>
              </w:rPr>
            </w:pPr>
            <w:r w:rsidRPr="00DD56B3">
              <w:rPr>
                <w:rFonts w:cs="Arial"/>
              </w:rPr>
              <w:t>1.99%</w:t>
            </w:r>
          </w:p>
        </w:tc>
        <w:tc>
          <w:tcPr>
            <w:tcW w:w="1778" w:type="dxa"/>
          </w:tcPr>
          <w:p w:rsidR="00B06504" w:rsidRPr="00DD56B3" w:rsidRDefault="009E0214" w:rsidP="00B06504">
            <w:pPr>
              <w:spacing w:after="0"/>
              <w:jc w:val="right"/>
              <w:rPr>
                <w:rFonts w:cs="Arial"/>
              </w:rPr>
            </w:pPr>
          </w:p>
        </w:tc>
        <w:tc>
          <w:tcPr>
            <w:tcW w:w="1778" w:type="dxa"/>
          </w:tcPr>
          <w:p w:rsidR="00B06504" w:rsidRPr="00DD56B3" w:rsidRDefault="009E0214" w:rsidP="00B06504">
            <w:pPr>
              <w:spacing w:after="0"/>
              <w:jc w:val="right"/>
              <w:rPr>
                <w:rFonts w:cs="Arial"/>
              </w:rPr>
            </w:pPr>
          </w:p>
        </w:tc>
        <w:tc>
          <w:tcPr>
            <w:tcW w:w="1779" w:type="dxa"/>
          </w:tcPr>
          <w:p w:rsidR="00B06504" w:rsidRPr="00DD56B3" w:rsidRDefault="00A445D6" w:rsidP="00B06504">
            <w:pPr>
              <w:spacing w:after="0"/>
              <w:jc w:val="right"/>
              <w:rPr>
                <w:rFonts w:cs="Arial"/>
              </w:rPr>
            </w:pPr>
            <w:r w:rsidRPr="00DD56B3">
              <w:rPr>
                <w:rFonts w:cs="Arial"/>
              </w:rPr>
              <w:t>1.99%</w:t>
            </w:r>
          </w:p>
        </w:tc>
      </w:tr>
    </w:tbl>
    <w:p w:rsidR="00B06504" w:rsidRPr="00DD1B77" w:rsidRDefault="009E0214" w:rsidP="00B06504">
      <w:pPr>
        <w:spacing w:after="0"/>
        <w:rPr>
          <w:rFonts w:cs="Arial"/>
        </w:rPr>
      </w:pPr>
    </w:p>
    <w:p w:rsidR="00B06504" w:rsidRPr="00DD1B77" w:rsidRDefault="00A445D6" w:rsidP="00B06504">
      <w:pPr>
        <w:spacing w:after="0"/>
        <w:rPr>
          <w:rFonts w:cs="Arial"/>
          <w:u w:val="single"/>
        </w:rPr>
      </w:pPr>
      <w:r w:rsidRPr="00DD1B77">
        <w:rPr>
          <w:rFonts w:cs="Arial"/>
        </w:rPr>
        <w:t>From 2020/21 onwards, it is assumed the maximum increase that the county council is able to apply to council tax, without a referendum, is 1.99%, as the option to raise an adult social care precept will no longer be available, and the additional 1% flexibility ceases after 2019/20. Any decisions not to increase council tax in line with the assumptions above would increase the financial gap; every 1% in council tax yields c£5m.</w:t>
      </w:r>
      <w:r w:rsidRPr="00DD1B77">
        <w:rPr>
          <w:rFonts w:cs="Arial"/>
          <w:u w:val="single"/>
        </w:rPr>
        <w:t xml:space="preserve"> </w:t>
      </w:r>
    </w:p>
    <w:p w:rsidR="00B06504" w:rsidRPr="00DD1B77" w:rsidRDefault="009E0214" w:rsidP="00B06504">
      <w:pPr>
        <w:spacing w:after="0"/>
        <w:rPr>
          <w:rFonts w:cs="Arial"/>
          <w:u w:val="single"/>
        </w:rPr>
      </w:pPr>
    </w:p>
    <w:p w:rsidR="00B06504" w:rsidRPr="00DD1B77" w:rsidRDefault="00A445D6" w:rsidP="00B06504">
      <w:pPr>
        <w:spacing w:after="0"/>
        <w:rPr>
          <w:rFonts w:cs="Arial"/>
        </w:rPr>
      </w:pPr>
      <w:r w:rsidRPr="00DD1B77">
        <w:rPr>
          <w:rFonts w:cs="Arial"/>
        </w:rPr>
        <w:t xml:space="preserve">Analysis of Lancashire's tax base over recent years indicates an average annual council tax base increase of 1.7%, and this is included within the MTFS.  </w:t>
      </w:r>
    </w:p>
    <w:p w:rsidR="00B06504" w:rsidRPr="005B5485" w:rsidRDefault="009E0214" w:rsidP="00B06504">
      <w:pPr>
        <w:spacing w:after="0"/>
        <w:rPr>
          <w:rFonts w:cs="Arial"/>
          <w:highlight w:val="yellow"/>
        </w:rPr>
      </w:pPr>
    </w:p>
    <w:p w:rsidR="00B06504" w:rsidRPr="00DD1B77" w:rsidRDefault="00A445D6" w:rsidP="00B06504">
      <w:pPr>
        <w:spacing w:after="0"/>
        <w:rPr>
          <w:rFonts w:cs="Arial"/>
        </w:rPr>
      </w:pPr>
      <w:r w:rsidRPr="00DD1B77">
        <w:rPr>
          <w:rFonts w:cs="Arial"/>
        </w:rPr>
        <w:t xml:space="preserve">Council tax collection rates vary across Lancashire's district councils and are relatively low compared to other councils nationally. The county council is working with some district councils to look at how collection levels can be improved, as an improvement of just 1% overall would increase funding to the county council by c£5m each year and </w:t>
      </w:r>
      <w:r>
        <w:rPr>
          <w:rFonts w:cs="Arial"/>
        </w:rPr>
        <w:t xml:space="preserve">also </w:t>
      </w:r>
      <w:r w:rsidRPr="00DD1B77">
        <w:rPr>
          <w:rFonts w:cs="Arial"/>
        </w:rPr>
        <w:t xml:space="preserve">yield a proportionate benefit to the district council. </w:t>
      </w:r>
    </w:p>
    <w:p w:rsidR="00B06504" w:rsidRPr="005B5485" w:rsidRDefault="009E0214" w:rsidP="00B06504">
      <w:pPr>
        <w:spacing w:after="0"/>
        <w:rPr>
          <w:rFonts w:cs="Arial"/>
          <w:b/>
          <w:highlight w:val="yellow"/>
        </w:rPr>
      </w:pPr>
    </w:p>
    <w:p w:rsidR="00B06504" w:rsidRPr="00DD1B77" w:rsidRDefault="00A445D6" w:rsidP="00B06504">
      <w:pPr>
        <w:spacing w:after="0"/>
        <w:rPr>
          <w:rFonts w:cs="Arial"/>
          <w:b/>
          <w:i/>
        </w:rPr>
      </w:pPr>
      <w:r w:rsidRPr="00DD1B77">
        <w:rPr>
          <w:rFonts w:cs="Arial"/>
          <w:b/>
          <w:i/>
        </w:rPr>
        <w:t xml:space="preserve">2.12 Business Rates </w:t>
      </w:r>
    </w:p>
    <w:p w:rsidR="00B06504" w:rsidRPr="00DD1B77" w:rsidRDefault="009E0214" w:rsidP="00B06504">
      <w:pPr>
        <w:autoSpaceDE/>
        <w:autoSpaceDN/>
        <w:adjustRightInd/>
        <w:spacing w:after="0" w:line="259" w:lineRule="auto"/>
        <w:jc w:val="left"/>
        <w:rPr>
          <w:rFonts w:cs="Arial"/>
        </w:rPr>
      </w:pPr>
    </w:p>
    <w:p w:rsidR="00B06504" w:rsidRPr="00DD1B77" w:rsidRDefault="00A445D6" w:rsidP="00B06504">
      <w:pPr>
        <w:spacing w:after="0"/>
        <w:rPr>
          <w:rFonts w:cs="Arial"/>
        </w:rPr>
      </w:pPr>
      <w:r w:rsidRPr="00DD1B77">
        <w:rPr>
          <w:rFonts w:cs="Arial"/>
        </w:rPr>
        <w:t xml:space="preserve">Business rates income is a significant portion of funding to local authorities. The baseline is an assessment of the business rate income required to meet service needs. For the county council, the amount anticipated to be received from the business rates collected in the area is less than its assessed need and therefore we receive a top up grant. </w:t>
      </w:r>
    </w:p>
    <w:p w:rsidR="00B06504" w:rsidRPr="005B5485" w:rsidRDefault="009E0214" w:rsidP="00B06504">
      <w:pPr>
        <w:spacing w:after="0"/>
        <w:rPr>
          <w:rFonts w:cs="Arial"/>
          <w:highlight w:val="yellow"/>
        </w:rPr>
      </w:pPr>
    </w:p>
    <w:p w:rsidR="00B06504" w:rsidRPr="00DD1B77" w:rsidRDefault="00A445D6" w:rsidP="00B06504">
      <w:pPr>
        <w:spacing w:after="0"/>
        <w:rPr>
          <w:rFonts w:cs="Arial"/>
        </w:rPr>
      </w:pPr>
      <w:r w:rsidRPr="00DD1B77">
        <w:rPr>
          <w:rFonts w:cs="Arial"/>
        </w:rPr>
        <w:t>Business rates income for the county council is heavily dependent on cooperation from the district councils, and much will depend on the general economic performance of local areas. The collection rates across Lancashire present a mixed performance when compared nationally, and the county council is working with districts to improve this performance. In addition, a number of businesses have valuation appeals outstanding, some of which are on large value properties.  If successful these will have a negative impact on the ability to generate business rates.  With this in mind a minimal amount of growth has been built into our local share at 0.5%.</w:t>
      </w:r>
    </w:p>
    <w:p w:rsidR="003174C9" w:rsidRPr="005B5485" w:rsidRDefault="009E0214" w:rsidP="003174C9">
      <w:pPr>
        <w:tabs>
          <w:tab w:val="left" w:pos="567"/>
          <w:tab w:val="left" w:pos="1134"/>
        </w:tabs>
        <w:spacing w:after="0"/>
        <w:rPr>
          <w:rFonts w:cs="Arial"/>
          <w:highlight w:val="yellow"/>
        </w:rPr>
      </w:pPr>
    </w:p>
    <w:p w:rsidR="002A484D" w:rsidRDefault="00A445D6" w:rsidP="003174C9">
      <w:pPr>
        <w:tabs>
          <w:tab w:val="left" w:pos="567"/>
          <w:tab w:val="left" w:pos="1134"/>
        </w:tabs>
        <w:spacing w:after="0"/>
        <w:rPr>
          <w:rFonts w:cs="Arial"/>
          <w:lang w:val="en"/>
        </w:rPr>
      </w:pPr>
      <w:r w:rsidRPr="00DD1B77">
        <w:rPr>
          <w:rFonts w:cs="Arial"/>
        </w:rPr>
        <w:t>As part of the provisional settlement the Secretary of State announced that the Lancashire bid to become a pilot of 75% business rates retention had been successful. This bid contained Lancashire county council, along with 11 district councils</w:t>
      </w:r>
      <w:r>
        <w:rPr>
          <w:rFonts w:cs="Arial"/>
        </w:rPr>
        <w:t>, Lancashire fire and rescue authority</w:t>
      </w:r>
      <w:r w:rsidRPr="00DD1B77">
        <w:rPr>
          <w:rFonts w:cs="Arial"/>
        </w:rPr>
        <w:t xml:space="preserve"> and the two unitary authorities of Blackburn and Blackpool which could see potentially a one off extra </w:t>
      </w:r>
      <w:r>
        <w:rPr>
          <w:rFonts w:cs="Arial"/>
        </w:rPr>
        <w:t>c£10</w:t>
      </w:r>
      <w:r w:rsidRPr="00DD1B77">
        <w:rPr>
          <w:rFonts w:cs="Arial"/>
        </w:rPr>
        <w:t>m retained across Lancashire</w:t>
      </w:r>
      <w:r>
        <w:rPr>
          <w:rFonts w:cs="Arial"/>
        </w:rPr>
        <w:t xml:space="preserve"> based on current growth estimates</w:t>
      </w:r>
      <w:r w:rsidRPr="00DD1B77">
        <w:rPr>
          <w:rFonts w:cs="Arial"/>
        </w:rPr>
        <w:t xml:space="preserve">. </w:t>
      </w:r>
    </w:p>
    <w:p w:rsidR="003174C9" w:rsidRPr="005B5485" w:rsidRDefault="009E0214" w:rsidP="00B06504">
      <w:pPr>
        <w:spacing w:after="0"/>
        <w:rPr>
          <w:rFonts w:cs="Arial"/>
          <w:highlight w:val="yellow"/>
        </w:rPr>
      </w:pPr>
    </w:p>
    <w:p w:rsidR="00B06504" w:rsidRPr="00DD1B77" w:rsidRDefault="00A445D6" w:rsidP="00B06504">
      <w:pPr>
        <w:spacing w:after="0"/>
        <w:rPr>
          <w:rFonts w:cs="Arial"/>
          <w:b/>
        </w:rPr>
      </w:pPr>
      <w:r w:rsidRPr="00DD1B77">
        <w:rPr>
          <w:rFonts w:cs="Arial"/>
          <w:b/>
        </w:rPr>
        <w:t>2.2 Capital Receipts</w:t>
      </w:r>
    </w:p>
    <w:p w:rsidR="00B06504" w:rsidRPr="00DD1B77" w:rsidRDefault="009E0214" w:rsidP="00B06504">
      <w:pPr>
        <w:spacing w:after="0"/>
        <w:rPr>
          <w:rFonts w:cs="Arial"/>
          <w:b/>
        </w:rPr>
      </w:pPr>
    </w:p>
    <w:p w:rsidR="00B06504" w:rsidRPr="00DD1B77" w:rsidRDefault="00A445D6" w:rsidP="00B06504">
      <w:pPr>
        <w:tabs>
          <w:tab w:val="left" w:pos="567"/>
          <w:tab w:val="left" w:pos="1134"/>
        </w:tabs>
        <w:spacing w:after="0"/>
        <w:rPr>
          <w:rFonts w:cs="Arial"/>
        </w:rPr>
      </w:pPr>
      <w:r w:rsidRPr="00DD1B77">
        <w:t>In April 2016 the government introduced the flexibility for capital receipts to be used to fund revenue expenditure that is designed to generate ongoing revenue savings or service improvements. This flexibility is currently available until 2020/21.</w:t>
      </w:r>
      <w:r w:rsidRPr="00DD1B77">
        <w:rPr>
          <w:rFonts w:cs="Arial"/>
        </w:rPr>
        <w:t xml:space="preserve"> </w:t>
      </w:r>
    </w:p>
    <w:p w:rsidR="00DD1B77" w:rsidRPr="00DD1B77" w:rsidRDefault="009E0214" w:rsidP="00B33C6D">
      <w:pPr>
        <w:tabs>
          <w:tab w:val="left" w:pos="567"/>
          <w:tab w:val="left" w:pos="1134"/>
        </w:tabs>
        <w:spacing w:after="0"/>
        <w:rPr>
          <w:rFonts w:cs="Arial"/>
        </w:rPr>
      </w:pPr>
    </w:p>
    <w:p w:rsidR="00B33C6D" w:rsidRPr="00DD1B77" w:rsidRDefault="00A445D6" w:rsidP="00B33C6D">
      <w:pPr>
        <w:tabs>
          <w:tab w:val="left" w:pos="567"/>
          <w:tab w:val="left" w:pos="1134"/>
        </w:tabs>
        <w:spacing w:after="0"/>
        <w:rPr>
          <w:rFonts w:cs="Arial"/>
        </w:rPr>
      </w:pPr>
      <w:r w:rsidRPr="00DD1B77">
        <w:rPr>
          <w:rFonts w:cs="Arial"/>
        </w:rPr>
        <w:t>Capital receipts of £8m and £7m are estimated to be received over the next two years and are included within the MTFS.  As part of the service challenge process additional resources were identified to support the transformation of services and delivery of the savings. The assumption within the MTFS that there will be sufficient capital receipts to meet these transformation costs over the next 2 years and therefore they will not be a draw on reserves or increase the funding gap.</w:t>
      </w:r>
    </w:p>
    <w:p w:rsidR="00B33C6D"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4F63A8" w:rsidRDefault="009E0214" w:rsidP="00B06504">
      <w:pPr>
        <w:spacing w:after="0"/>
        <w:rPr>
          <w:rFonts w:cs="Arial"/>
          <w:highlight w:val="yellow"/>
        </w:rPr>
      </w:pPr>
    </w:p>
    <w:p w:rsidR="002A484D" w:rsidRDefault="009E0214" w:rsidP="00B06504">
      <w:pPr>
        <w:spacing w:after="0"/>
        <w:rPr>
          <w:rFonts w:cs="Arial"/>
          <w:highlight w:val="yellow"/>
        </w:rPr>
      </w:pPr>
    </w:p>
    <w:p w:rsidR="002A484D" w:rsidRDefault="009E0214" w:rsidP="00B06504">
      <w:pPr>
        <w:spacing w:after="0"/>
        <w:rPr>
          <w:rFonts w:cs="Arial"/>
          <w:highlight w:val="yellow"/>
        </w:rPr>
      </w:pPr>
    </w:p>
    <w:p w:rsidR="002A484D" w:rsidRDefault="009E0214" w:rsidP="00B06504">
      <w:pPr>
        <w:spacing w:after="0"/>
        <w:rPr>
          <w:rFonts w:cs="Arial"/>
          <w:highlight w:val="yellow"/>
        </w:rPr>
      </w:pPr>
    </w:p>
    <w:p w:rsidR="00E30F97" w:rsidRDefault="009E0214" w:rsidP="00B06504">
      <w:pPr>
        <w:spacing w:after="0"/>
        <w:rPr>
          <w:rFonts w:cs="Arial"/>
          <w:highlight w:val="yellow"/>
        </w:rPr>
      </w:pPr>
    </w:p>
    <w:p w:rsidR="007446EE" w:rsidRDefault="009E0214" w:rsidP="00B06504">
      <w:pPr>
        <w:spacing w:after="0"/>
        <w:rPr>
          <w:rFonts w:cs="Arial"/>
          <w:highlight w:val="yellow"/>
        </w:rPr>
      </w:pPr>
    </w:p>
    <w:p w:rsidR="00737897" w:rsidRDefault="009E0214" w:rsidP="00B06504">
      <w:pPr>
        <w:spacing w:after="0"/>
        <w:rPr>
          <w:rFonts w:cs="Arial"/>
          <w:highlight w:val="yellow"/>
        </w:rPr>
      </w:pPr>
    </w:p>
    <w:p w:rsidR="00737897" w:rsidRDefault="009E0214" w:rsidP="00B06504">
      <w:pPr>
        <w:spacing w:after="0"/>
        <w:rPr>
          <w:rFonts w:cs="Arial"/>
          <w:highlight w:val="yellow"/>
        </w:rPr>
      </w:pPr>
    </w:p>
    <w:p w:rsidR="00737897" w:rsidRPr="005B5485" w:rsidRDefault="009E0214" w:rsidP="00B06504">
      <w:pPr>
        <w:spacing w:after="0"/>
        <w:rPr>
          <w:rFonts w:cs="Arial"/>
          <w:highlight w:val="yellow"/>
        </w:rPr>
      </w:pPr>
    </w:p>
    <w:p w:rsidR="00B06504" w:rsidRPr="00DD1B77" w:rsidRDefault="00A445D6" w:rsidP="00B06504">
      <w:pPr>
        <w:spacing w:after="0"/>
        <w:rPr>
          <w:rFonts w:cs="Arial"/>
          <w:b/>
        </w:rPr>
      </w:pPr>
      <w:r w:rsidRPr="00DD1B77">
        <w:rPr>
          <w:rFonts w:cs="Arial"/>
          <w:b/>
        </w:rPr>
        <w:t xml:space="preserve">3. Net Budget Requirement </w:t>
      </w:r>
    </w:p>
    <w:p w:rsidR="00B06504" w:rsidRPr="00DD1B77" w:rsidRDefault="009E0214" w:rsidP="00B06504">
      <w:pPr>
        <w:spacing w:after="0"/>
        <w:rPr>
          <w:rFonts w:cs="Arial"/>
          <w:b/>
        </w:rPr>
      </w:pPr>
    </w:p>
    <w:p w:rsidR="00B06504" w:rsidRPr="00DD1B77" w:rsidRDefault="00A445D6" w:rsidP="00B06504">
      <w:pPr>
        <w:tabs>
          <w:tab w:val="left" w:pos="567"/>
          <w:tab w:val="left" w:pos="1134"/>
        </w:tabs>
        <w:spacing w:after="0"/>
        <w:rPr>
          <w:rFonts w:cs="Arial"/>
        </w:rPr>
      </w:pPr>
      <w:r w:rsidRPr="00DD1B77">
        <w:rPr>
          <w:rFonts w:cs="Arial"/>
        </w:rPr>
        <w:t xml:space="preserve">The MTFS covers spending pressures including pay increases, contractual inflation, increased demand for services and the impact of previously agreed and new savings measures. </w:t>
      </w:r>
    </w:p>
    <w:p w:rsidR="00B06504" w:rsidRPr="005B5485" w:rsidRDefault="009E0214" w:rsidP="00B06504">
      <w:pPr>
        <w:spacing w:after="0"/>
        <w:rPr>
          <w:rFonts w:cs="Arial"/>
          <w:highlight w:val="yellow"/>
        </w:rPr>
      </w:pPr>
    </w:p>
    <w:p w:rsidR="00B06504" w:rsidRPr="00CA1AA8" w:rsidRDefault="00A445D6" w:rsidP="00B06504">
      <w:pPr>
        <w:spacing w:after="0"/>
        <w:rPr>
          <w:rFonts w:cs="Arial"/>
          <w:b/>
        </w:rPr>
      </w:pPr>
      <w:r w:rsidRPr="00CA1AA8">
        <w:rPr>
          <w:rFonts w:cs="Arial"/>
          <w:b/>
        </w:rPr>
        <w:t>3.1 Pay and Pensions</w:t>
      </w:r>
    </w:p>
    <w:p w:rsidR="00B06504" w:rsidRPr="00CA1AA8" w:rsidRDefault="009E0214" w:rsidP="00B06504">
      <w:pPr>
        <w:spacing w:after="0"/>
        <w:rPr>
          <w:rFonts w:cs="Arial"/>
          <w:b/>
        </w:rPr>
      </w:pPr>
    </w:p>
    <w:p w:rsidR="00B06504" w:rsidRPr="00CA1AA8" w:rsidRDefault="00A445D6" w:rsidP="00B06504">
      <w:pPr>
        <w:spacing w:after="0"/>
        <w:rPr>
          <w:rFonts w:cs="Arial"/>
        </w:rPr>
      </w:pPr>
      <w:r w:rsidRPr="00CA1AA8">
        <w:rPr>
          <w:rFonts w:cs="Arial"/>
        </w:rPr>
        <w:t>In December 2017 it was announced by the National Employers for Local Government Services that following negotiations a new pay offer covering the period 1 April 2018 and 31 March 2020 had been agreed. In 2019/20 the new pay offer proposes that local government organisations move to a new pay spine and this is reflected within the pay budget in the MTFS.  A 2% increase has therefore been included in 2019/20 and an assumption of 1% included in later years until further information is known in relation to the pay spine and subsequent increases.  A 1% pay award equates to an addition</w:t>
      </w:r>
      <w:r>
        <w:rPr>
          <w:rFonts w:cs="Arial"/>
        </w:rPr>
        <w:t>a</w:t>
      </w:r>
      <w:r w:rsidRPr="00CA1AA8">
        <w:rPr>
          <w:rFonts w:cs="Arial"/>
        </w:rPr>
        <w:t>l net annual cost of c£3m.</w:t>
      </w:r>
      <w:r>
        <w:rPr>
          <w:rFonts w:cs="Arial"/>
        </w:rPr>
        <w:t xml:space="preserve"> The new pay spine was agreed by Employment Committee on 14</w:t>
      </w:r>
      <w:r w:rsidRPr="00CA1AA8">
        <w:rPr>
          <w:rFonts w:cs="Arial"/>
          <w:vertAlign w:val="superscript"/>
        </w:rPr>
        <w:t>th</w:t>
      </w:r>
      <w:r>
        <w:rPr>
          <w:rFonts w:cs="Arial"/>
        </w:rPr>
        <w:t xml:space="preserve"> January 2019. </w:t>
      </w:r>
    </w:p>
    <w:p w:rsidR="00CA1AA8" w:rsidRPr="005B5485" w:rsidRDefault="009E0214" w:rsidP="00B06504">
      <w:pPr>
        <w:spacing w:after="0"/>
        <w:rPr>
          <w:rFonts w:cs="Arial"/>
          <w:highlight w:val="yellow"/>
        </w:rPr>
      </w:pPr>
    </w:p>
    <w:p w:rsidR="00B06504" w:rsidRPr="00CA1AA8" w:rsidRDefault="00A445D6" w:rsidP="00B06504">
      <w:pPr>
        <w:spacing w:after="0"/>
        <w:rPr>
          <w:rFonts w:cs="Arial"/>
        </w:rPr>
      </w:pPr>
      <w:r w:rsidRPr="00CA1AA8">
        <w:rPr>
          <w:rFonts w:cs="Arial"/>
        </w:rPr>
        <w:t>The table below presents the amounts built into the MTFS for pay and pensions:</w:t>
      </w:r>
    </w:p>
    <w:p w:rsidR="00E41814" w:rsidRPr="00CA1AA8" w:rsidRDefault="009E0214" w:rsidP="00B06504">
      <w:pPr>
        <w:spacing w:after="0"/>
        <w:rPr>
          <w:rFonts w:cs="Arial"/>
        </w:rPr>
      </w:pPr>
    </w:p>
    <w:p w:rsidR="00B06504" w:rsidRPr="00CA1AA8" w:rsidRDefault="00A445D6" w:rsidP="00B06504">
      <w:pPr>
        <w:spacing w:after="0"/>
        <w:rPr>
          <w:rFonts w:cs="Arial"/>
          <w:b/>
          <w:i/>
          <w:u w:val="single"/>
        </w:rPr>
      </w:pPr>
      <w:r w:rsidRPr="00CA1AA8">
        <w:rPr>
          <w:rFonts w:cs="Arial"/>
          <w:b/>
          <w:i/>
          <w:u w:val="single"/>
        </w:rPr>
        <w:t>Table 4</w:t>
      </w:r>
    </w:p>
    <w:p w:rsidR="00B06504" w:rsidRPr="00CA1AA8" w:rsidRDefault="009E0214" w:rsidP="00B06504">
      <w:pPr>
        <w:spacing w:after="0"/>
        <w:rPr>
          <w:rFonts w:cs="Arial"/>
        </w:rPr>
      </w:pPr>
    </w:p>
    <w:tbl>
      <w:tblPr>
        <w:tblStyle w:val="TableGrid8"/>
        <w:tblW w:w="9039" w:type="dxa"/>
        <w:tblLook w:val="04A0" w:firstRow="1" w:lastRow="0" w:firstColumn="1" w:lastColumn="0" w:noHBand="0" w:noVBand="1"/>
      </w:tblPr>
      <w:tblGrid>
        <w:gridCol w:w="3188"/>
        <w:gridCol w:w="1170"/>
        <w:gridCol w:w="1170"/>
        <w:gridCol w:w="1170"/>
        <w:gridCol w:w="1170"/>
        <w:gridCol w:w="1171"/>
      </w:tblGrid>
      <w:tr w:rsidR="00F0025F" w:rsidTr="00C538E7">
        <w:trPr>
          <w:trHeight w:val="689"/>
        </w:trPr>
        <w:tc>
          <w:tcPr>
            <w:tcW w:w="0" w:type="auto"/>
          </w:tcPr>
          <w:p w:rsidR="00B06504" w:rsidRPr="00CA1AA8" w:rsidRDefault="009E0214" w:rsidP="00B06504">
            <w:pPr>
              <w:tabs>
                <w:tab w:val="left" w:pos="567"/>
                <w:tab w:val="left" w:pos="1134"/>
              </w:tabs>
              <w:spacing w:after="0"/>
              <w:rPr>
                <w:rFonts w:cs="Arial"/>
              </w:rPr>
            </w:pPr>
          </w:p>
        </w:tc>
        <w:tc>
          <w:tcPr>
            <w:tcW w:w="1170" w:type="dxa"/>
            <w:vAlign w:val="center"/>
          </w:tcPr>
          <w:p w:rsidR="00B06504" w:rsidRPr="00CA1AA8" w:rsidRDefault="00A445D6" w:rsidP="00B06504">
            <w:pPr>
              <w:tabs>
                <w:tab w:val="left" w:pos="567"/>
                <w:tab w:val="left" w:pos="1134"/>
              </w:tabs>
              <w:spacing w:after="0"/>
              <w:jc w:val="center"/>
              <w:rPr>
                <w:rFonts w:cs="Arial"/>
                <w:b/>
              </w:rPr>
            </w:pPr>
            <w:r w:rsidRPr="00CA1AA8">
              <w:rPr>
                <w:rFonts w:cs="Arial"/>
                <w:b/>
              </w:rPr>
              <w:t>2019/20</w:t>
            </w:r>
          </w:p>
          <w:p w:rsidR="00B06504" w:rsidRPr="00CA1AA8" w:rsidRDefault="00A445D6" w:rsidP="00B06504">
            <w:pPr>
              <w:tabs>
                <w:tab w:val="left" w:pos="567"/>
                <w:tab w:val="left" w:pos="1134"/>
              </w:tabs>
              <w:spacing w:after="0"/>
              <w:jc w:val="center"/>
              <w:rPr>
                <w:rFonts w:cs="Arial"/>
                <w:b/>
              </w:rPr>
            </w:pPr>
            <w:r w:rsidRPr="00CA1AA8">
              <w:rPr>
                <w:rFonts w:cs="Arial"/>
                <w:b/>
              </w:rPr>
              <w:t>£m</w:t>
            </w:r>
          </w:p>
        </w:tc>
        <w:tc>
          <w:tcPr>
            <w:tcW w:w="1170" w:type="dxa"/>
            <w:vAlign w:val="center"/>
          </w:tcPr>
          <w:p w:rsidR="00B06504" w:rsidRPr="00CA1AA8" w:rsidRDefault="00A445D6" w:rsidP="00B06504">
            <w:pPr>
              <w:tabs>
                <w:tab w:val="left" w:pos="567"/>
                <w:tab w:val="left" w:pos="1134"/>
              </w:tabs>
              <w:spacing w:after="0"/>
              <w:jc w:val="center"/>
              <w:rPr>
                <w:rFonts w:cs="Arial"/>
                <w:b/>
              </w:rPr>
            </w:pPr>
            <w:r w:rsidRPr="00CA1AA8">
              <w:rPr>
                <w:rFonts w:cs="Arial"/>
                <w:b/>
              </w:rPr>
              <w:t>2020/21</w:t>
            </w:r>
          </w:p>
          <w:p w:rsidR="00B06504" w:rsidRPr="00CA1AA8" w:rsidRDefault="00A445D6" w:rsidP="00B06504">
            <w:pPr>
              <w:tabs>
                <w:tab w:val="left" w:pos="567"/>
                <w:tab w:val="left" w:pos="1134"/>
              </w:tabs>
              <w:spacing w:after="0"/>
              <w:jc w:val="center"/>
              <w:rPr>
                <w:rFonts w:cs="Arial"/>
                <w:b/>
              </w:rPr>
            </w:pPr>
            <w:r w:rsidRPr="00CA1AA8">
              <w:rPr>
                <w:rFonts w:cs="Arial"/>
                <w:b/>
              </w:rPr>
              <w:t>£m</w:t>
            </w:r>
          </w:p>
        </w:tc>
        <w:tc>
          <w:tcPr>
            <w:tcW w:w="1170" w:type="dxa"/>
            <w:vAlign w:val="center"/>
          </w:tcPr>
          <w:p w:rsidR="00B06504" w:rsidRPr="00CA1AA8" w:rsidRDefault="00A445D6" w:rsidP="00B06504">
            <w:pPr>
              <w:tabs>
                <w:tab w:val="left" w:pos="567"/>
                <w:tab w:val="left" w:pos="1134"/>
              </w:tabs>
              <w:spacing w:after="0"/>
              <w:jc w:val="center"/>
              <w:rPr>
                <w:rFonts w:cs="Arial"/>
                <w:b/>
              </w:rPr>
            </w:pPr>
            <w:r w:rsidRPr="00CA1AA8">
              <w:rPr>
                <w:rFonts w:cs="Arial"/>
                <w:b/>
              </w:rPr>
              <w:t>2021/22</w:t>
            </w:r>
          </w:p>
          <w:p w:rsidR="00B06504" w:rsidRPr="00CA1AA8" w:rsidRDefault="00A445D6" w:rsidP="00B06504">
            <w:pPr>
              <w:tabs>
                <w:tab w:val="left" w:pos="567"/>
                <w:tab w:val="left" w:pos="1134"/>
              </w:tabs>
              <w:spacing w:after="0"/>
              <w:jc w:val="center"/>
              <w:rPr>
                <w:rFonts w:cs="Arial"/>
                <w:b/>
              </w:rPr>
            </w:pPr>
            <w:r w:rsidRPr="00CA1AA8">
              <w:rPr>
                <w:rFonts w:cs="Arial"/>
                <w:b/>
              </w:rPr>
              <w:t>£m</w:t>
            </w:r>
          </w:p>
        </w:tc>
        <w:tc>
          <w:tcPr>
            <w:tcW w:w="1170" w:type="dxa"/>
            <w:vAlign w:val="center"/>
          </w:tcPr>
          <w:p w:rsidR="00B06504" w:rsidRPr="00CA1AA8" w:rsidRDefault="00A445D6" w:rsidP="00B06504">
            <w:pPr>
              <w:tabs>
                <w:tab w:val="left" w:pos="567"/>
                <w:tab w:val="left" w:pos="1134"/>
              </w:tabs>
              <w:spacing w:after="0"/>
              <w:jc w:val="center"/>
              <w:rPr>
                <w:rFonts w:cs="Arial"/>
                <w:b/>
              </w:rPr>
            </w:pPr>
            <w:r w:rsidRPr="00CA1AA8">
              <w:rPr>
                <w:rFonts w:cs="Arial"/>
                <w:b/>
              </w:rPr>
              <w:t>2022/23</w:t>
            </w:r>
          </w:p>
          <w:p w:rsidR="00B06504" w:rsidRPr="00CA1AA8" w:rsidRDefault="00A445D6" w:rsidP="00B06504">
            <w:pPr>
              <w:tabs>
                <w:tab w:val="left" w:pos="567"/>
                <w:tab w:val="left" w:pos="1134"/>
              </w:tabs>
              <w:spacing w:after="0"/>
              <w:jc w:val="center"/>
              <w:rPr>
                <w:rFonts w:cs="Arial"/>
                <w:b/>
              </w:rPr>
            </w:pPr>
            <w:r w:rsidRPr="00CA1AA8">
              <w:rPr>
                <w:rFonts w:cs="Arial"/>
                <w:b/>
              </w:rPr>
              <w:t>£m</w:t>
            </w:r>
          </w:p>
        </w:tc>
        <w:tc>
          <w:tcPr>
            <w:tcW w:w="1171" w:type="dxa"/>
            <w:vAlign w:val="center"/>
          </w:tcPr>
          <w:p w:rsidR="00B06504" w:rsidRPr="00CA1AA8" w:rsidRDefault="00A445D6" w:rsidP="00B06504">
            <w:pPr>
              <w:tabs>
                <w:tab w:val="left" w:pos="567"/>
                <w:tab w:val="left" w:pos="1134"/>
              </w:tabs>
              <w:spacing w:after="0"/>
              <w:jc w:val="center"/>
              <w:rPr>
                <w:rFonts w:cs="Arial"/>
                <w:b/>
              </w:rPr>
            </w:pPr>
            <w:r w:rsidRPr="00CA1AA8">
              <w:rPr>
                <w:rFonts w:cs="Arial"/>
                <w:b/>
              </w:rPr>
              <w:t>Total</w:t>
            </w:r>
          </w:p>
          <w:p w:rsidR="00B06504" w:rsidRPr="00CA1AA8" w:rsidRDefault="00A445D6" w:rsidP="00B06504">
            <w:pPr>
              <w:tabs>
                <w:tab w:val="left" w:pos="567"/>
                <w:tab w:val="left" w:pos="1134"/>
              </w:tabs>
              <w:spacing w:after="0"/>
              <w:jc w:val="center"/>
              <w:rPr>
                <w:rFonts w:cs="Arial"/>
                <w:b/>
              </w:rPr>
            </w:pPr>
            <w:r w:rsidRPr="00CA1AA8">
              <w:rPr>
                <w:rFonts w:cs="Arial"/>
                <w:b/>
              </w:rPr>
              <w:t>£m</w:t>
            </w:r>
          </w:p>
        </w:tc>
      </w:tr>
      <w:tr w:rsidR="00F0025F" w:rsidTr="00C538E7">
        <w:trPr>
          <w:trHeight w:val="404"/>
        </w:trPr>
        <w:tc>
          <w:tcPr>
            <w:tcW w:w="0" w:type="auto"/>
            <w:vAlign w:val="center"/>
          </w:tcPr>
          <w:p w:rsidR="00B06504" w:rsidRPr="00CA1AA8" w:rsidRDefault="00A445D6" w:rsidP="00B06504">
            <w:pPr>
              <w:tabs>
                <w:tab w:val="left" w:pos="567"/>
                <w:tab w:val="left" w:pos="1134"/>
              </w:tabs>
              <w:spacing w:after="0"/>
              <w:jc w:val="left"/>
              <w:rPr>
                <w:rFonts w:cs="Arial"/>
              </w:rPr>
            </w:pPr>
            <w:r w:rsidRPr="00CA1AA8">
              <w:rPr>
                <w:rFonts w:cs="Arial"/>
              </w:rPr>
              <w:t>Employee Costs</w:t>
            </w:r>
          </w:p>
        </w:tc>
        <w:tc>
          <w:tcPr>
            <w:tcW w:w="1170" w:type="dxa"/>
            <w:vAlign w:val="center"/>
          </w:tcPr>
          <w:p w:rsidR="00B06504" w:rsidRPr="00CA1AA8" w:rsidRDefault="00A445D6" w:rsidP="00952D24">
            <w:pPr>
              <w:tabs>
                <w:tab w:val="left" w:pos="567"/>
                <w:tab w:val="left" w:pos="1134"/>
              </w:tabs>
              <w:spacing w:after="0"/>
              <w:jc w:val="right"/>
              <w:rPr>
                <w:rFonts w:cs="Arial"/>
              </w:rPr>
            </w:pPr>
            <w:r w:rsidRPr="00CA1AA8">
              <w:rPr>
                <w:rFonts w:cs="Arial"/>
              </w:rPr>
              <w:t>9.</w:t>
            </w:r>
            <w:r>
              <w:rPr>
                <w:rFonts w:cs="Arial"/>
              </w:rPr>
              <w:t>682</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4.495</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4.043</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4.100</w:t>
            </w:r>
          </w:p>
        </w:tc>
        <w:tc>
          <w:tcPr>
            <w:tcW w:w="1171" w:type="dxa"/>
            <w:vAlign w:val="center"/>
          </w:tcPr>
          <w:p w:rsidR="00B06504" w:rsidRPr="00CA1AA8" w:rsidRDefault="00A445D6" w:rsidP="00B06504">
            <w:pPr>
              <w:tabs>
                <w:tab w:val="left" w:pos="567"/>
                <w:tab w:val="left" w:pos="1134"/>
              </w:tabs>
              <w:spacing w:after="0"/>
              <w:jc w:val="right"/>
              <w:rPr>
                <w:rFonts w:cs="Arial"/>
                <w:b/>
              </w:rPr>
            </w:pPr>
            <w:r>
              <w:rPr>
                <w:rFonts w:cs="Arial"/>
                <w:b/>
              </w:rPr>
              <w:t>22.320</w:t>
            </w:r>
          </w:p>
        </w:tc>
      </w:tr>
      <w:tr w:rsidR="00F0025F" w:rsidTr="00C538E7">
        <w:trPr>
          <w:trHeight w:val="404"/>
        </w:trPr>
        <w:tc>
          <w:tcPr>
            <w:tcW w:w="0" w:type="auto"/>
            <w:vAlign w:val="center"/>
          </w:tcPr>
          <w:p w:rsidR="00B06504" w:rsidRPr="00CA1AA8" w:rsidRDefault="00A445D6" w:rsidP="00B06504">
            <w:pPr>
              <w:tabs>
                <w:tab w:val="left" w:pos="567"/>
                <w:tab w:val="left" w:pos="1134"/>
              </w:tabs>
              <w:spacing w:after="0"/>
              <w:jc w:val="left"/>
              <w:rPr>
                <w:rFonts w:cs="Arial"/>
              </w:rPr>
            </w:pPr>
            <w:r w:rsidRPr="00CA1AA8">
              <w:rPr>
                <w:rFonts w:cs="Arial"/>
              </w:rPr>
              <w:t>Pensions Costs</w:t>
            </w:r>
          </w:p>
        </w:tc>
        <w:tc>
          <w:tcPr>
            <w:tcW w:w="1170" w:type="dxa"/>
            <w:vAlign w:val="center"/>
          </w:tcPr>
          <w:p w:rsidR="00B06504" w:rsidRPr="00CA1AA8" w:rsidRDefault="00A445D6" w:rsidP="00B06504">
            <w:pPr>
              <w:tabs>
                <w:tab w:val="left" w:pos="567"/>
                <w:tab w:val="left" w:pos="1134"/>
              </w:tabs>
              <w:spacing w:after="0"/>
              <w:jc w:val="right"/>
              <w:rPr>
                <w:rFonts w:cs="Arial"/>
              </w:rPr>
            </w:pPr>
            <w:r w:rsidRPr="00CA1AA8">
              <w:rPr>
                <w:rFonts w:cs="Arial"/>
              </w:rPr>
              <w:t>0.374</w:t>
            </w:r>
          </w:p>
        </w:tc>
        <w:tc>
          <w:tcPr>
            <w:tcW w:w="1170" w:type="dxa"/>
            <w:vAlign w:val="center"/>
          </w:tcPr>
          <w:p w:rsidR="00B06504" w:rsidRPr="00CA1AA8" w:rsidRDefault="00A445D6" w:rsidP="00C538E7">
            <w:pPr>
              <w:tabs>
                <w:tab w:val="left" w:pos="567"/>
                <w:tab w:val="left" w:pos="1134"/>
              </w:tabs>
              <w:spacing w:after="0"/>
              <w:jc w:val="right"/>
              <w:rPr>
                <w:rFonts w:cs="Arial"/>
              </w:rPr>
            </w:pPr>
            <w:r>
              <w:rPr>
                <w:rFonts w:cs="Arial"/>
              </w:rPr>
              <w:t>-6.026</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0.374</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0.374</w:t>
            </w:r>
          </w:p>
        </w:tc>
        <w:tc>
          <w:tcPr>
            <w:tcW w:w="1171" w:type="dxa"/>
            <w:vAlign w:val="center"/>
          </w:tcPr>
          <w:p w:rsidR="00B06504" w:rsidRPr="00CA1AA8" w:rsidRDefault="00A445D6" w:rsidP="00B06504">
            <w:pPr>
              <w:tabs>
                <w:tab w:val="left" w:pos="567"/>
                <w:tab w:val="left" w:pos="1134"/>
              </w:tabs>
              <w:spacing w:after="0"/>
              <w:jc w:val="right"/>
              <w:rPr>
                <w:rFonts w:cs="Arial"/>
                <w:b/>
              </w:rPr>
            </w:pPr>
            <w:r>
              <w:rPr>
                <w:rFonts w:cs="Arial"/>
                <w:b/>
              </w:rPr>
              <w:t>-4.904</w:t>
            </w:r>
          </w:p>
        </w:tc>
      </w:tr>
      <w:tr w:rsidR="00F0025F" w:rsidTr="00C538E7">
        <w:trPr>
          <w:trHeight w:val="404"/>
        </w:trPr>
        <w:tc>
          <w:tcPr>
            <w:tcW w:w="0" w:type="auto"/>
            <w:vAlign w:val="center"/>
          </w:tcPr>
          <w:p w:rsidR="00B06504" w:rsidRPr="00CA1AA8" w:rsidRDefault="00A445D6" w:rsidP="00B06504">
            <w:pPr>
              <w:tabs>
                <w:tab w:val="left" w:pos="567"/>
                <w:tab w:val="left" w:pos="1134"/>
              </w:tabs>
              <w:spacing w:after="0"/>
              <w:jc w:val="left"/>
              <w:rPr>
                <w:rFonts w:cs="Arial"/>
              </w:rPr>
            </w:pPr>
            <w:r w:rsidRPr="00CA1AA8">
              <w:rPr>
                <w:rFonts w:cs="Arial"/>
              </w:rPr>
              <w:t>Pension Prepayment Saving</w:t>
            </w:r>
          </w:p>
        </w:tc>
        <w:tc>
          <w:tcPr>
            <w:tcW w:w="1170" w:type="dxa"/>
            <w:vAlign w:val="center"/>
          </w:tcPr>
          <w:p w:rsidR="00B06504" w:rsidRPr="00CA1AA8" w:rsidRDefault="00A445D6" w:rsidP="00B06504">
            <w:pPr>
              <w:tabs>
                <w:tab w:val="left" w:pos="567"/>
                <w:tab w:val="left" w:pos="1134"/>
              </w:tabs>
              <w:spacing w:after="0"/>
              <w:jc w:val="right"/>
              <w:rPr>
                <w:rFonts w:cs="Arial"/>
              </w:rPr>
            </w:pPr>
            <w:r w:rsidRPr="00CA1AA8">
              <w:rPr>
                <w:rFonts w:cs="Arial"/>
              </w:rPr>
              <w:t>-0.319</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2.299</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0.000</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0.000</w:t>
            </w:r>
          </w:p>
        </w:tc>
        <w:tc>
          <w:tcPr>
            <w:tcW w:w="1171" w:type="dxa"/>
            <w:vAlign w:val="center"/>
          </w:tcPr>
          <w:p w:rsidR="00B06504" w:rsidRPr="00CA1AA8" w:rsidRDefault="00A445D6" w:rsidP="00B06504">
            <w:pPr>
              <w:tabs>
                <w:tab w:val="left" w:pos="567"/>
                <w:tab w:val="left" w:pos="1134"/>
              </w:tabs>
              <w:spacing w:after="0"/>
              <w:jc w:val="right"/>
              <w:rPr>
                <w:rFonts w:cs="Arial"/>
                <w:b/>
              </w:rPr>
            </w:pPr>
            <w:r>
              <w:rPr>
                <w:rFonts w:cs="Arial"/>
                <w:b/>
              </w:rPr>
              <w:t>1.980</w:t>
            </w:r>
          </w:p>
        </w:tc>
      </w:tr>
      <w:tr w:rsidR="00F0025F" w:rsidTr="00C538E7">
        <w:trPr>
          <w:trHeight w:val="404"/>
        </w:trPr>
        <w:tc>
          <w:tcPr>
            <w:tcW w:w="0" w:type="auto"/>
            <w:vAlign w:val="center"/>
          </w:tcPr>
          <w:p w:rsidR="00B06504" w:rsidRPr="00CA1AA8" w:rsidRDefault="00A445D6" w:rsidP="00B06504">
            <w:pPr>
              <w:tabs>
                <w:tab w:val="left" w:pos="567"/>
                <w:tab w:val="left" w:pos="1134"/>
              </w:tabs>
              <w:spacing w:after="0"/>
              <w:jc w:val="left"/>
              <w:rPr>
                <w:rFonts w:cs="Arial"/>
              </w:rPr>
            </w:pPr>
            <w:r w:rsidRPr="00CA1AA8">
              <w:rPr>
                <w:rFonts w:cs="Arial"/>
              </w:rPr>
              <w:t>Other pay related costs</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1.332</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0.029</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0.028</w:t>
            </w:r>
          </w:p>
        </w:tc>
        <w:tc>
          <w:tcPr>
            <w:tcW w:w="1170" w:type="dxa"/>
            <w:vAlign w:val="center"/>
          </w:tcPr>
          <w:p w:rsidR="00B06504" w:rsidRPr="00CA1AA8" w:rsidRDefault="00A445D6" w:rsidP="00B06504">
            <w:pPr>
              <w:tabs>
                <w:tab w:val="left" w:pos="567"/>
                <w:tab w:val="left" w:pos="1134"/>
              </w:tabs>
              <w:spacing w:after="0"/>
              <w:jc w:val="right"/>
              <w:rPr>
                <w:rFonts w:cs="Arial"/>
              </w:rPr>
            </w:pPr>
            <w:r>
              <w:rPr>
                <w:rFonts w:cs="Arial"/>
              </w:rPr>
              <w:t>0.028</w:t>
            </w:r>
          </w:p>
        </w:tc>
        <w:tc>
          <w:tcPr>
            <w:tcW w:w="1171" w:type="dxa"/>
            <w:vAlign w:val="center"/>
          </w:tcPr>
          <w:p w:rsidR="00B06504" w:rsidRPr="00CA1AA8" w:rsidRDefault="00A445D6" w:rsidP="00B06504">
            <w:pPr>
              <w:tabs>
                <w:tab w:val="left" w:pos="567"/>
                <w:tab w:val="left" w:pos="1134"/>
              </w:tabs>
              <w:spacing w:after="0"/>
              <w:jc w:val="right"/>
              <w:rPr>
                <w:rFonts w:cs="Arial"/>
                <w:b/>
              </w:rPr>
            </w:pPr>
            <w:r>
              <w:rPr>
                <w:rFonts w:cs="Arial"/>
                <w:b/>
              </w:rPr>
              <w:t>1.417</w:t>
            </w:r>
          </w:p>
        </w:tc>
      </w:tr>
      <w:tr w:rsidR="00F0025F" w:rsidTr="00C538E7">
        <w:trPr>
          <w:trHeight w:val="689"/>
        </w:trPr>
        <w:tc>
          <w:tcPr>
            <w:tcW w:w="0" w:type="auto"/>
            <w:vAlign w:val="center"/>
          </w:tcPr>
          <w:p w:rsidR="00B06504" w:rsidRPr="00952D24" w:rsidRDefault="00A445D6" w:rsidP="00B06504">
            <w:pPr>
              <w:tabs>
                <w:tab w:val="left" w:pos="567"/>
                <w:tab w:val="left" w:pos="1134"/>
              </w:tabs>
              <w:spacing w:after="0"/>
              <w:jc w:val="left"/>
              <w:rPr>
                <w:rFonts w:cs="Arial"/>
                <w:b/>
              </w:rPr>
            </w:pPr>
            <w:r w:rsidRPr="00952D24">
              <w:rPr>
                <w:rFonts w:cs="Arial"/>
                <w:b/>
              </w:rPr>
              <w:t>Revised Pay and Pension requirements</w:t>
            </w:r>
          </w:p>
        </w:tc>
        <w:tc>
          <w:tcPr>
            <w:tcW w:w="1170" w:type="dxa"/>
            <w:vAlign w:val="center"/>
          </w:tcPr>
          <w:p w:rsidR="00B06504" w:rsidRPr="00952D24" w:rsidRDefault="00A445D6" w:rsidP="00952D24">
            <w:pPr>
              <w:tabs>
                <w:tab w:val="left" w:pos="567"/>
                <w:tab w:val="left" w:pos="1134"/>
              </w:tabs>
              <w:spacing w:after="0"/>
              <w:jc w:val="right"/>
              <w:rPr>
                <w:rFonts w:cs="Arial"/>
                <w:b/>
              </w:rPr>
            </w:pPr>
            <w:r w:rsidRPr="00952D24">
              <w:rPr>
                <w:rFonts w:cs="Arial"/>
                <w:b/>
              </w:rPr>
              <w:t>11.</w:t>
            </w:r>
            <w:r>
              <w:rPr>
                <w:rFonts w:cs="Arial"/>
                <w:b/>
              </w:rPr>
              <w:t>069</w:t>
            </w:r>
          </w:p>
        </w:tc>
        <w:tc>
          <w:tcPr>
            <w:tcW w:w="1170" w:type="dxa"/>
            <w:vAlign w:val="center"/>
          </w:tcPr>
          <w:p w:rsidR="00B06504" w:rsidRPr="004F63A8" w:rsidRDefault="00A445D6" w:rsidP="00B06504">
            <w:pPr>
              <w:tabs>
                <w:tab w:val="left" w:pos="567"/>
                <w:tab w:val="left" w:pos="1134"/>
              </w:tabs>
              <w:spacing w:after="0"/>
              <w:jc w:val="right"/>
              <w:rPr>
                <w:rFonts w:cs="Arial"/>
                <w:b/>
              </w:rPr>
            </w:pPr>
            <w:r w:rsidRPr="004F63A8">
              <w:rPr>
                <w:rFonts w:cs="Arial"/>
                <w:b/>
              </w:rPr>
              <w:t>0.797</w:t>
            </w:r>
          </w:p>
        </w:tc>
        <w:tc>
          <w:tcPr>
            <w:tcW w:w="1170" w:type="dxa"/>
            <w:vAlign w:val="center"/>
          </w:tcPr>
          <w:p w:rsidR="00B06504" w:rsidRPr="004F63A8" w:rsidRDefault="00A445D6" w:rsidP="00B06504">
            <w:pPr>
              <w:tabs>
                <w:tab w:val="left" w:pos="567"/>
                <w:tab w:val="left" w:pos="1134"/>
              </w:tabs>
              <w:spacing w:after="0"/>
              <w:jc w:val="right"/>
              <w:rPr>
                <w:rFonts w:cs="Arial"/>
                <w:b/>
              </w:rPr>
            </w:pPr>
            <w:r>
              <w:rPr>
                <w:rFonts w:cs="Arial"/>
                <w:b/>
              </w:rPr>
              <w:t>4.445</w:t>
            </w:r>
          </w:p>
        </w:tc>
        <w:tc>
          <w:tcPr>
            <w:tcW w:w="1170" w:type="dxa"/>
            <w:vAlign w:val="center"/>
          </w:tcPr>
          <w:p w:rsidR="00B06504" w:rsidRPr="004F63A8" w:rsidRDefault="00A445D6" w:rsidP="00B06504">
            <w:pPr>
              <w:tabs>
                <w:tab w:val="left" w:pos="567"/>
                <w:tab w:val="left" w:pos="1134"/>
              </w:tabs>
              <w:spacing w:after="0"/>
              <w:jc w:val="right"/>
              <w:rPr>
                <w:rFonts w:cs="Arial"/>
                <w:b/>
              </w:rPr>
            </w:pPr>
            <w:r>
              <w:rPr>
                <w:rFonts w:cs="Arial"/>
                <w:b/>
              </w:rPr>
              <w:t>4.502</w:t>
            </w:r>
          </w:p>
        </w:tc>
        <w:tc>
          <w:tcPr>
            <w:tcW w:w="1171" w:type="dxa"/>
            <w:vAlign w:val="center"/>
          </w:tcPr>
          <w:p w:rsidR="00B06504" w:rsidRPr="004F63A8" w:rsidRDefault="00A445D6" w:rsidP="00B06504">
            <w:pPr>
              <w:tabs>
                <w:tab w:val="left" w:pos="567"/>
                <w:tab w:val="left" w:pos="1134"/>
              </w:tabs>
              <w:spacing w:after="0"/>
              <w:jc w:val="right"/>
              <w:rPr>
                <w:rFonts w:cs="Arial"/>
                <w:b/>
              </w:rPr>
            </w:pPr>
            <w:r>
              <w:rPr>
                <w:rFonts w:cs="Arial"/>
                <w:b/>
              </w:rPr>
              <w:t>20.813</w:t>
            </w:r>
          </w:p>
        </w:tc>
      </w:tr>
      <w:tr w:rsidR="00F0025F" w:rsidTr="00C538E7">
        <w:trPr>
          <w:trHeight w:val="397"/>
        </w:trPr>
        <w:tc>
          <w:tcPr>
            <w:tcW w:w="0" w:type="auto"/>
            <w:vAlign w:val="center"/>
          </w:tcPr>
          <w:p w:rsidR="00B06504" w:rsidRPr="005B5485" w:rsidRDefault="009E0214" w:rsidP="00B06504">
            <w:pPr>
              <w:tabs>
                <w:tab w:val="left" w:pos="567"/>
                <w:tab w:val="left" w:pos="1134"/>
              </w:tabs>
              <w:spacing w:after="0"/>
              <w:jc w:val="left"/>
              <w:rPr>
                <w:rFonts w:cs="Arial"/>
                <w:b/>
                <w:highlight w:val="yellow"/>
              </w:rPr>
            </w:pPr>
          </w:p>
        </w:tc>
        <w:tc>
          <w:tcPr>
            <w:tcW w:w="1170" w:type="dxa"/>
            <w:vAlign w:val="center"/>
          </w:tcPr>
          <w:p w:rsidR="00B06504" w:rsidRPr="005B5485" w:rsidRDefault="009E0214" w:rsidP="00B06504">
            <w:pPr>
              <w:tabs>
                <w:tab w:val="left" w:pos="567"/>
                <w:tab w:val="left" w:pos="1134"/>
              </w:tabs>
              <w:spacing w:after="0"/>
              <w:jc w:val="right"/>
              <w:rPr>
                <w:rFonts w:cs="Arial"/>
                <w:b/>
                <w:highlight w:val="yellow"/>
              </w:rPr>
            </w:pPr>
          </w:p>
        </w:tc>
        <w:tc>
          <w:tcPr>
            <w:tcW w:w="1170" w:type="dxa"/>
            <w:vAlign w:val="center"/>
          </w:tcPr>
          <w:p w:rsidR="00B06504" w:rsidRPr="004F63A8" w:rsidRDefault="009E0214" w:rsidP="00B06504">
            <w:pPr>
              <w:tabs>
                <w:tab w:val="left" w:pos="567"/>
                <w:tab w:val="left" w:pos="1134"/>
              </w:tabs>
              <w:spacing w:after="0"/>
              <w:jc w:val="right"/>
              <w:rPr>
                <w:rFonts w:cs="Arial"/>
                <w:b/>
              </w:rPr>
            </w:pPr>
          </w:p>
        </w:tc>
        <w:tc>
          <w:tcPr>
            <w:tcW w:w="1170" w:type="dxa"/>
            <w:vAlign w:val="center"/>
          </w:tcPr>
          <w:p w:rsidR="00B06504" w:rsidRPr="004F63A8" w:rsidRDefault="009E0214" w:rsidP="00B06504">
            <w:pPr>
              <w:tabs>
                <w:tab w:val="left" w:pos="567"/>
                <w:tab w:val="left" w:pos="1134"/>
              </w:tabs>
              <w:spacing w:after="0"/>
              <w:jc w:val="right"/>
              <w:rPr>
                <w:rFonts w:cs="Arial"/>
                <w:b/>
              </w:rPr>
            </w:pPr>
          </w:p>
        </w:tc>
        <w:tc>
          <w:tcPr>
            <w:tcW w:w="1170" w:type="dxa"/>
            <w:vAlign w:val="center"/>
          </w:tcPr>
          <w:p w:rsidR="00B06504" w:rsidRPr="004F63A8" w:rsidRDefault="009E0214" w:rsidP="00B06504">
            <w:pPr>
              <w:tabs>
                <w:tab w:val="left" w:pos="567"/>
                <w:tab w:val="left" w:pos="1134"/>
              </w:tabs>
              <w:spacing w:after="0"/>
              <w:jc w:val="right"/>
              <w:rPr>
                <w:rFonts w:cs="Arial"/>
                <w:b/>
              </w:rPr>
            </w:pPr>
          </w:p>
        </w:tc>
        <w:tc>
          <w:tcPr>
            <w:tcW w:w="1171" w:type="dxa"/>
            <w:vAlign w:val="center"/>
          </w:tcPr>
          <w:p w:rsidR="00B06504" w:rsidRPr="004F63A8" w:rsidRDefault="009E0214" w:rsidP="00B06504">
            <w:pPr>
              <w:tabs>
                <w:tab w:val="left" w:pos="567"/>
                <w:tab w:val="left" w:pos="1134"/>
              </w:tabs>
              <w:spacing w:after="0"/>
              <w:jc w:val="right"/>
              <w:rPr>
                <w:rFonts w:cs="Arial"/>
                <w:b/>
              </w:rPr>
            </w:pPr>
          </w:p>
        </w:tc>
      </w:tr>
      <w:tr w:rsidR="00F0025F" w:rsidTr="00C538E7">
        <w:trPr>
          <w:trHeight w:val="689"/>
        </w:trPr>
        <w:tc>
          <w:tcPr>
            <w:tcW w:w="0" w:type="auto"/>
            <w:vAlign w:val="center"/>
          </w:tcPr>
          <w:p w:rsidR="004E7181" w:rsidRPr="00CA1AA8" w:rsidRDefault="00A445D6" w:rsidP="004E7181">
            <w:pPr>
              <w:tabs>
                <w:tab w:val="left" w:pos="567"/>
                <w:tab w:val="left" w:pos="1134"/>
              </w:tabs>
              <w:spacing w:after="0"/>
              <w:jc w:val="left"/>
              <w:rPr>
                <w:rFonts w:cs="Arial"/>
                <w:b/>
              </w:rPr>
            </w:pPr>
            <w:r w:rsidRPr="00CA1AA8">
              <w:rPr>
                <w:rFonts w:cs="Arial"/>
                <w:b/>
              </w:rPr>
              <w:t>Pay and Pensions -previous MTFS</w:t>
            </w:r>
          </w:p>
        </w:tc>
        <w:tc>
          <w:tcPr>
            <w:tcW w:w="1170" w:type="dxa"/>
            <w:vAlign w:val="center"/>
          </w:tcPr>
          <w:p w:rsidR="004E7181" w:rsidRPr="00CA1AA8" w:rsidRDefault="00A445D6" w:rsidP="00750D2C">
            <w:pPr>
              <w:tabs>
                <w:tab w:val="left" w:pos="567"/>
                <w:tab w:val="left" w:pos="1134"/>
              </w:tabs>
              <w:spacing w:after="0"/>
              <w:jc w:val="right"/>
              <w:rPr>
                <w:rFonts w:cs="Arial"/>
                <w:b/>
              </w:rPr>
            </w:pPr>
            <w:r w:rsidRPr="00CA1AA8">
              <w:rPr>
                <w:rFonts w:cs="Arial"/>
                <w:b/>
              </w:rPr>
              <w:t>10.596</w:t>
            </w:r>
          </w:p>
        </w:tc>
        <w:tc>
          <w:tcPr>
            <w:tcW w:w="1170" w:type="dxa"/>
            <w:vAlign w:val="center"/>
          </w:tcPr>
          <w:p w:rsidR="004E7181" w:rsidRPr="00CA1AA8" w:rsidRDefault="00A445D6" w:rsidP="004E7181">
            <w:pPr>
              <w:tabs>
                <w:tab w:val="left" w:pos="567"/>
                <w:tab w:val="left" w:pos="1134"/>
              </w:tabs>
              <w:spacing w:after="0"/>
              <w:jc w:val="right"/>
              <w:rPr>
                <w:rFonts w:cs="Arial"/>
                <w:b/>
              </w:rPr>
            </w:pPr>
            <w:r w:rsidRPr="00CA1AA8">
              <w:rPr>
                <w:rFonts w:cs="Arial"/>
                <w:b/>
              </w:rPr>
              <w:t>0.556</w:t>
            </w:r>
          </w:p>
        </w:tc>
        <w:tc>
          <w:tcPr>
            <w:tcW w:w="1170" w:type="dxa"/>
            <w:vAlign w:val="center"/>
          </w:tcPr>
          <w:p w:rsidR="004E7181" w:rsidRPr="00CA1AA8" w:rsidRDefault="00A445D6" w:rsidP="004E7181">
            <w:pPr>
              <w:tabs>
                <w:tab w:val="left" w:pos="567"/>
                <w:tab w:val="left" w:pos="1134"/>
              </w:tabs>
              <w:spacing w:after="0"/>
              <w:jc w:val="right"/>
              <w:rPr>
                <w:rFonts w:cs="Arial"/>
                <w:b/>
              </w:rPr>
            </w:pPr>
            <w:r w:rsidRPr="00CA1AA8">
              <w:rPr>
                <w:rFonts w:cs="Arial"/>
                <w:b/>
              </w:rPr>
              <w:t>4.401</w:t>
            </w:r>
          </w:p>
        </w:tc>
        <w:tc>
          <w:tcPr>
            <w:tcW w:w="1170" w:type="dxa"/>
            <w:vAlign w:val="center"/>
          </w:tcPr>
          <w:p w:rsidR="004E7181" w:rsidRPr="00CA1AA8" w:rsidRDefault="00A445D6" w:rsidP="004E7181">
            <w:pPr>
              <w:tabs>
                <w:tab w:val="left" w:pos="567"/>
                <w:tab w:val="left" w:pos="1134"/>
              </w:tabs>
              <w:spacing w:after="0"/>
              <w:jc w:val="right"/>
              <w:rPr>
                <w:rFonts w:cs="Arial"/>
                <w:b/>
              </w:rPr>
            </w:pPr>
            <w:r w:rsidRPr="00CA1AA8">
              <w:rPr>
                <w:rFonts w:cs="Arial"/>
                <w:b/>
              </w:rPr>
              <w:t>4.243</w:t>
            </w:r>
          </w:p>
        </w:tc>
        <w:tc>
          <w:tcPr>
            <w:tcW w:w="1171" w:type="dxa"/>
            <w:vAlign w:val="center"/>
          </w:tcPr>
          <w:p w:rsidR="004E7181" w:rsidRPr="00CA1AA8" w:rsidRDefault="00A445D6" w:rsidP="004E7181">
            <w:pPr>
              <w:tabs>
                <w:tab w:val="left" w:pos="567"/>
                <w:tab w:val="left" w:pos="1134"/>
              </w:tabs>
              <w:spacing w:after="0"/>
              <w:jc w:val="right"/>
              <w:rPr>
                <w:rFonts w:cs="Arial"/>
                <w:b/>
              </w:rPr>
            </w:pPr>
            <w:r w:rsidRPr="00CA1AA8">
              <w:rPr>
                <w:rFonts w:cs="Arial"/>
                <w:b/>
              </w:rPr>
              <w:t>19.796</w:t>
            </w:r>
          </w:p>
        </w:tc>
      </w:tr>
      <w:tr w:rsidR="00F0025F" w:rsidTr="00C538E7">
        <w:trPr>
          <w:trHeight w:val="285"/>
        </w:trPr>
        <w:tc>
          <w:tcPr>
            <w:tcW w:w="0" w:type="auto"/>
            <w:vAlign w:val="center"/>
          </w:tcPr>
          <w:p w:rsidR="00B06504" w:rsidRPr="005B5485" w:rsidRDefault="009E0214" w:rsidP="00B06504">
            <w:pPr>
              <w:tabs>
                <w:tab w:val="left" w:pos="567"/>
                <w:tab w:val="left" w:pos="1134"/>
              </w:tabs>
              <w:spacing w:after="0"/>
              <w:jc w:val="left"/>
              <w:rPr>
                <w:rFonts w:cs="Arial"/>
                <w:highlight w:val="yellow"/>
              </w:rPr>
            </w:pPr>
          </w:p>
        </w:tc>
        <w:tc>
          <w:tcPr>
            <w:tcW w:w="1170" w:type="dxa"/>
            <w:vAlign w:val="center"/>
          </w:tcPr>
          <w:p w:rsidR="00B06504" w:rsidRPr="005B5485" w:rsidRDefault="009E0214" w:rsidP="00B06504">
            <w:pPr>
              <w:tabs>
                <w:tab w:val="left" w:pos="567"/>
                <w:tab w:val="left" w:pos="1134"/>
              </w:tabs>
              <w:spacing w:after="0"/>
              <w:jc w:val="right"/>
              <w:rPr>
                <w:rFonts w:cs="Arial"/>
                <w:highlight w:val="yellow"/>
              </w:rPr>
            </w:pPr>
          </w:p>
        </w:tc>
        <w:tc>
          <w:tcPr>
            <w:tcW w:w="1170" w:type="dxa"/>
            <w:vAlign w:val="center"/>
          </w:tcPr>
          <w:p w:rsidR="00B06504" w:rsidRPr="005B5485" w:rsidRDefault="009E0214" w:rsidP="00B06504">
            <w:pPr>
              <w:tabs>
                <w:tab w:val="left" w:pos="567"/>
                <w:tab w:val="left" w:pos="1134"/>
              </w:tabs>
              <w:spacing w:after="0"/>
              <w:jc w:val="right"/>
              <w:rPr>
                <w:rFonts w:cs="Arial"/>
                <w:highlight w:val="yellow"/>
              </w:rPr>
            </w:pPr>
          </w:p>
        </w:tc>
        <w:tc>
          <w:tcPr>
            <w:tcW w:w="1170" w:type="dxa"/>
            <w:vAlign w:val="center"/>
          </w:tcPr>
          <w:p w:rsidR="00B06504" w:rsidRPr="005B5485" w:rsidRDefault="009E0214" w:rsidP="00B06504">
            <w:pPr>
              <w:tabs>
                <w:tab w:val="left" w:pos="567"/>
                <w:tab w:val="left" w:pos="1134"/>
              </w:tabs>
              <w:spacing w:after="0"/>
              <w:jc w:val="right"/>
              <w:rPr>
                <w:rFonts w:cs="Arial"/>
                <w:highlight w:val="yellow"/>
              </w:rPr>
            </w:pPr>
          </w:p>
        </w:tc>
        <w:tc>
          <w:tcPr>
            <w:tcW w:w="1170" w:type="dxa"/>
            <w:vAlign w:val="center"/>
          </w:tcPr>
          <w:p w:rsidR="00B06504" w:rsidRPr="005B5485" w:rsidRDefault="009E0214" w:rsidP="00B06504">
            <w:pPr>
              <w:tabs>
                <w:tab w:val="left" w:pos="567"/>
                <w:tab w:val="left" w:pos="1134"/>
              </w:tabs>
              <w:spacing w:after="0"/>
              <w:jc w:val="right"/>
              <w:rPr>
                <w:rFonts w:cs="Arial"/>
                <w:b/>
                <w:highlight w:val="yellow"/>
              </w:rPr>
            </w:pPr>
          </w:p>
        </w:tc>
        <w:tc>
          <w:tcPr>
            <w:tcW w:w="1171" w:type="dxa"/>
            <w:vAlign w:val="center"/>
          </w:tcPr>
          <w:p w:rsidR="00B06504" w:rsidRPr="005B5485" w:rsidRDefault="009E0214" w:rsidP="00B06504">
            <w:pPr>
              <w:tabs>
                <w:tab w:val="left" w:pos="567"/>
                <w:tab w:val="left" w:pos="1134"/>
              </w:tabs>
              <w:spacing w:after="0"/>
              <w:jc w:val="right"/>
              <w:rPr>
                <w:rFonts w:cs="Arial"/>
                <w:b/>
                <w:highlight w:val="yellow"/>
              </w:rPr>
            </w:pPr>
          </w:p>
        </w:tc>
      </w:tr>
      <w:tr w:rsidR="00F0025F" w:rsidTr="00C538E7">
        <w:trPr>
          <w:trHeight w:val="689"/>
        </w:trPr>
        <w:tc>
          <w:tcPr>
            <w:tcW w:w="0" w:type="auto"/>
            <w:vAlign w:val="center"/>
          </w:tcPr>
          <w:p w:rsidR="00B06504" w:rsidRPr="00952D24" w:rsidRDefault="00A445D6" w:rsidP="00B06504">
            <w:pPr>
              <w:tabs>
                <w:tab w:val="left" w:pos="567"/>
                <w:tab w:val="left" w:pos="1134"/>
              </w:tabs>
              <w:spacing w:after="0"/>
              <w:jc w:val="left"/>
              <w:rPr>
                <w:rFonts w:cs="Arial"/>
                <w:b/>
              </w:rPr>
            </w:pPr>
            <w:r w:rsidRPr="00952D24">
              <w:rPr>
                <w:rFonts w:cs="Arial"/>
                <w:b/>
              </w:rPr>
              <w:t>Impact on Financial Gap</w:t>
            </w:r>
          </w:p>
        </w:tc>
        <w:tc>
          <w:tcPr>
            <w:tcW w:w="1170" w:type="dxa"/>
            <w:vAlign w:val="center"/>
          </w:tcPr>
          <w:p w:rsidR="00B06504" w:rsidRPr="00952D24" w:rsidRDefault="00A445D6" w:rsidP="00B06504">
            <w:pPr>
              <w:tabs>
                <w:tab w:val="left" w:pos="567"/>
                <w:tab w:val="left" w:pos="1134"/>
              </w:tabs>
              <w:spacing w:after="0"/>
              <w:jc w:val="right"/>
              <w:rPr>
                <w:rFonts w:cs="Arial"/>
                <w:b/>
              </w:rPr>
            </w:pPr>
            <w:r w:rsidRPr="00952D24">
              <w:rPr>
                <w:rFonts w:cs="Arial"/>
                <w:b/>
              </w:rPr>
              <w:t>0.473</w:t>
            </w:r>
          </w:p>
        </w:tc>
        <w:tc>
          <w:tcPr>
            <w:tcW w:w="1170" w:type="dxa"/>
            <w:vAlign w:val="center"/>
          </w:tcPr>
          <w:p w:rsidR="00B06504" w:rsidRPr="00952D24" w:rsidRDefault="00A445D6" w:rsidP="00B06504">
            <w:pPr>
              <w:tabs>
                <w:tab w:val="left" w:pos="567"/>
                <w:tab w:val="left" w:pos="1134"/>
              </w:tabs>
              <w:spacing w:after="0"/>
              <w:jc w:val="right"/>
              <w:rPr>
                <w:rFonts w:cs="Arial"/>
                <w:b/>
              </w:rPr>
            </w:pPr>
            <w:r>
              <w:rPr>
                <w:rFonts w:cs="Arial"/>
                <w:b/>
              </w:rPr>
              <w:t>0.241</w:t>
            </w:r>
          </w:p>
        </w:tc>
        <w:tc>
          <w:tcPr>
            <w:tcW w:w="1170" w:type="dxa"/>
            <w:vAlign w:val="center"/>
          </w:tcPr>
          <w:p w:rsidR="00B06504" w:rsidRPr="00952D24" w:rsidRDefault="00A445D6" w:rsidP="004F63A8">
            <w:pPr>
              <w:tabs>
                <w:tab w:val="left" w:pos="567"/>
                <w:tab w:val="left" w:pos="1134"/>
              </w:tabs>
              <w:spacing w:after="0"/>
              <w:jc w:val="right"/>
              <w:rPr>
                <w:rFonts w:cs="Arial"/>
                <w:b/>
              </w:rPr>
            </w:pPr>
            <w:r w:rsidRPr="00952D24">
              <w:rPr>
                <w:rFonts w:cs="Arial"/>
                <w:b/>
              </w:rPr>
              <w:t>0.</w:t>
            </w:r>
            <w:r>
              <w:rPr>
                <w:rFonts w:cs="Arial"/>
                <w:b/>
              </w:rPr>
              <w:t>044</w:t>
            </w:r>
          </w:p>
        </w:tc>
        <w:tc>
          <w:tcPr>
            <w:tcW w:w="1170" w:type="dxa"/>
            <w:vAlign w:val="center"/>
          </w:tcPr>
          <w:p w:rsidR="00B06504" w:rsidRPr="00952D24" w:rsidRDefault="00A445D6" w:rsidP="004F63A8">
            <w:pPr>
              <w:tabs>
                <w:tab w:val="left" w:pos="567"/>
                <w:tab w:val="left" w:pos="1134"/>
              </w:tabs>
              <w:spacing w:after="0"/>
              <w:jc w:val="right"/>
              <w:rPr>
                <w:rFonts w:cs="Arial"/>
                <w:b/>
              </w:rPr>
            </w:pPr>
            <w:r w:rsidRPr="00952D24">
              <w:rPr>
                <w:rFonts w:cs="Arial"/>
                <w:b/>
              </w:rPr>
              <w:t>0.2</w:t>
            </w:r>
            <w:r>
              <w:rPr>
                <w:rFonts w:cs="Arial"/>
                <w:b/>
              </w:rPr>
              <w:t>59</w:t>
            </w:r>
          </w:p>
        </w:tc>
        <w:tc>
          <w:tcPr>
            <w:tcW w:w="1171" w:type="dxa"/>
            <w:vAlign w:val="center"/>
          </w:tcPr>
          <w:p w:rsidR="00B06504" w:rsidRPr="00952D24" w:rsidRDefault="00A445D6" w:rsidP="00B06504">
            <w:pPr>
              <w:tabs>
                <w:tab w:val="left" w:pos="567"/>
                <w:tab w:val="left" w:pos="1134"/>
              </w:tabs>
              <w:spacing w:after="0"/>
              <w:jc w:val="right"/>
              <w:rPr>
                <w:rFonts w:cs="Arial"/>
                <w:b/>
              </w:rPr>
            </w:pPr>
            <w:r>
              <w:rPr>
                <w:rFonts w:cs="Arial"/>
                <w:b/>
              </w:rPr>
              <w:t>1.017</w:t>
            </w:r>
          </w:p>
        </w:tc>
      </w:tr>
    </w:tbl>
    <w:p w:rsidR="00B06504"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237515" w:rsidRPr="005B5485" w:rsidRDefault="009E0214" w:rsidP="00B06504">
      <w:pPr>
        <w:spacing w:after="0"/>
        <w:rPr>
          <w:rFonts w:cs="Arial"/>
          <w:b/>
          <w:highlight w:val="yellow"/>
        </w:rPr>
      </w:pPr>
    </w:p>
    <w:p w:rsidR="007446EE" w:rsidRDefault="009E0214" w:rsidP="00B06504">
      <w:pPr>
        <w:spacing w:after="0"/>
        <w:rPr>
          <w:rFonts w:cs="Arial"/>
          <w:b/>
          <w:highlight w:val="yellow"/>
        </w:rPr>
      </w:pPr>
    </w:p>
    <w:p w:rsidR="00B06504" w:rsidRPr="008D6A03" w:rsidRDefault="00A445D6" w:rsidP="00B06504">
      <w:pPr>
        <w:spacing w:after="0"/>
        <w:rPr>
          <w:rFonts w:cs="Arial"/>
          <w:b/>
        </w:rPr>
      </w:pPr>
      <w:r w:rsidRPr="008D6A03">
        <w:rPr>
          <w:rFonts w:cs="Arial"/>
          <w:b/>
        </w:rPr>
        <w:t>3.2 Price Inflation and Cost Changes</w:t>
      </w:r>
    </w:p>
    <w:p w:rsidR="00B06504" w:rsidRPr="008D6A03" w:rsidRDefault="009E0214" w:rsidP="00B06504">
      <w:pPr>
        <w:spacing w:after="0"/>
        <w:rPr>
          <w:rFonts w:cs="Arial"/>
          <w:b/>
        </w:rPr>
      </w:pPr>
    </w:p>
    <w:p w:rsidR="00B06504" w:rsidRPr="008D6A03" w:rsidRDefault="00A445D6" w:rsidP="00B06504">
      <w:pPr>
        <w:spacing w:after="0"/>
        <w:rPr>
          <w:rFonts w:cs="Arial"/>
        </w:rPr>
      </w:pPr>
      <w:r w:rsidRPr="008D6A03">
        <w:rPr>
          <w:rFonts w:cs="Arial"/>
        </w:rPr>
        <w:t>Contractual price increases represent a significant cost pressure to the county council. The assumptions have been subject to regular review by services, with an incremental increase of £</w:t>
      </w:r>
      <w:r>
        <w:rPr>
          <w:rFonts w:cs="Arial"/>
        </w:rPr>
        <w:t>3.533</w:t>
      </w:r>
      <w:r w:rsidRPr="008D6A03">
        <w:rPr>
          <w:rFonts w:cs="Arial"/>
        </w:rPr>
        <w:t>m</w:t>
      </w:r>
      <w:r>
        <w:rPr>
          <w:rFonts w:cs="Arial"/>
        </w:rPr>
        <w:t xml:space="preserve"> from the position at quarter 2</w:t>
      </w:r>
      <w:r w:rsidRPr="008D6A03">
        <w:rPr>
          <w:rFonts w:cs="Arial"/>
        </w:rPr>
        <w:t xml:space="preserve"> being forecast primarily relating to the final year of the current MTFS. The updated position is shown in table 5 below.</w:t>
      </w:r>
    </w:p>
    <w:p w:rsidR="00237515" w:rsidRPr="008D6A03" w:rsidRDefault="009E0214" w:rsidP="00237515">
      <w:pPr>
        <w:spacing w:after="0"/>
        <w:rPr>
          <w:rFonts w:cs="Arial"/>
        </w:rPr>
      </w:pPr>
    </w:p>
    <w:p w:rsidR="00237515" w:rsidRPr="008D6A03" w:rsidRDefault="00A445D6" w:rsidP="00237515">
      <w:pPr>
        <w:spacing w:after="0"/>
        <w:rPr>
          <w:rFonts w:cs="Arial"/>
          <w:b/>
          <w:i/>
          <w:u w:val="single"/>
        </w:rPr>
      </w:pPr>
      <w:r w:rsidRPr="008D6A03">
        <w:rPr>
          <w:rFonts w:cs="Arial"/>
          <w:b/>
          <w:i/>
          <w:u w:val="single"/>
        </w:rPr>
        <w:t>Table 5</w:t>
      </w:r>
    </w:p>
    <w:p w:rsidR="00237515" w:rsidRPr="008D6A03" w:rsidRDefault="009E0214" w:rsidP="00237515">
      <w:pPr>
        <w:tabs>
          <w:tab w:val="left" w:pos="567"/>
          <w:tab w:val="left" w:pos="1134"/>
        </w:tabs>
        <w:spacing w:after="0"/>
        <w:rPr>
          <w:rFonts w:cs="Arial"/>
        </w:rPr>
      </w:pPr>
    </w:p>
    <w:tbl>
      <w:tblPr>
        <w:tblStyle w:val="TableGrid10"/>
        <w:tblW w:w="8753" w:type="dxa"/>
        <w:jc w:val="center"/>
        <w:tblLook w:val="04A0" w:firstRow="1" w:lastRow="0" w:firstColumn="1" w:lastColumn="0" w:noHBand="0" w:noVBand="1"/>
      </w:tblPr>
      <w:tblGrid>
        <w:gridCol w:w="3220"/>
        <w:gridCol w:w="1084"/>
        <w:gridCol w:w="1084"/>
        <w:gridCol w:w="1084"/>
        <w:gridCol w:w="1196"/>
        <w:gridCol w:w="1085"/>
      </w:tblGrid>
      <w:tr w:rsidR="00F0025F" w:rsidTr="00145244">
        <w:trPr>
          <w:trHeight w:val="692"/>
          <w:jc w:val="center"/>
        </w:trPr>
        <w:tc>
          <w:tcPr>
            <w:tcW w:w="0" w:type="auto"/>
            <w:shd w:val="clear" w:color="auto" w:fill="BFBFBF" w:themeFill="background1" w:themeFillShade="BF"/>
          </w:tcPr>
          <w:p w:rsidR="00237515" w:rsidRPr="008D6A03" w:rsidRDefault="009E0214" w:rsidP="00237515">
            <w:pPr>
              <w:tabs>
                <w:tab w:val="left" w:pos="567"/>
                <w:tab w:val="left" w:pos="1134"/>
              </w:tabs>
              <w:spacing w:after="0"/>
              <w:rPr>
                <w:rFonts w:cs="Arial"/>
              </w:rPr>
            </w:pPr>
          </w:p>
        </w:tc>
        <w:tc>
          <w:tcPr>
            <w:tcW w:w="0" w:type="auto"/>
            <w:shd w:val="clear" w:color="auto" w:fill="BFBFBF" w:themeFill="background1" w:themeFillShade="BF"/>
            <w:vAlign w:val="center"/>
          </w:tcPr>
          <w:p w:rsidR="00237515" w:rsidRPr="008D6A03" w:rsidRDefault="00A445D6" w:rsidP="00237515">
            <w:pPr>
              <w:tabs>
                <w:tab w:val="left" w:pos="567"/>
                <w:tab w:val="left" w:pos="1134"/>
              </w:tabs>
              <w:spacing w:after="0"/>
              <w:jc w:val="center"/>
              <w:rPr>
                <w:rFonts w:cs="Arial"/>
                <w:b/>
              </w:rPr>
            </w:pPr>
            <w:r w:rsidRPr="008D6A03">
              <w:rPr>
                <w:rFonts w:cs="Arial"/>
                <w:b/>
              </w:rPr>
              <w:t>2019/20</w:t>
            </w:r>
          </w:p>
          <w:p w:rsidR="00237515" w:rsidRPr="008D6A03" w:rsidRDefault="00A445D6" w:rsidP="00237515">
            <w:pPr>
              <w:tabs>
                <w:tab w:val="left" w:pos="567"/>
                <w:tab w:val="left" w:pos="1134"/>
              </w:tabs>
              <w:spacing w:after="0"/>
              <w:jc w:val="center"/>
              <w:rPr>
                <w:rFonts w:cs="Arial"/>
                <w:b/>
              </w:rPr>
            </w:pPr>
            <w:r w:rsidRPr="008D6A03">
              <w:rPr>
                <w:rFonts w:cs="Arial"/>
                <w:b/>
              </w:rPr>
              <w:t>£m</w:t>
            </w:r>
          </w:p>
        </w:tc>
        <w:tc>
          <w:tcPr>
            <w:tcW w:w="0" w:type="auto"/>
            <w:shd w:val="clear" w:color="auto" w:fill="BFBFBF" w:themeFill="background1" w:themeFillShade="BF"/>
            <w:vAlign w:val="center"/>
          </w:tcPr>
          <w:p w:rsidR="00237515" w:rsidRPr="008D6A03" w:rsidRDefault="00A445D6" w:rsidP="00237515">
            <w:pPr>
              <w:tabs>
                <w:tab w:val="left" w:pos="567"/>
                <w:tab w:val="left" w:pos="1134"/>
              </w:tabs>
              <w:spacing w:after="0"/>
              <w:jc w:val="center"/>
              <w:rPr>
                <w:rFonts w:cs="Arial"/>
                <w:b/>
              </w:rPr>
            </w:pPr>
            <w:r w:rsidRPr="008D6A03">
              <w:rPr>
                <w:rFonts w:cs="Arial"/>
                <w:b/>
              </w:rPr>
              <w:t>2020/21</w:t>
            </w:r>
          </w:p>
          <w:p w:rsidR="00237515" w:rsidRPr="008D6A03" w:rsidRDefault="00A445D6" w:rsidP="00237515">
            <w:pPr>
              <w:tabs>
                <w:tab w:val="left" w:pos="567"/>
                <w:tab w:val="left" w:pos="1134"/>
              </w:tabs>
              <w:spacing w:after="0"/>
              <w:jc w:val="center"/>
              <w:rPr>
                <w:rFonts w:cs="Arial"/>
                <w:b/>
              </w:rPr>
            </w:pPr>
            <w:r w:rsidRPr="008D6A03">
              <w:rPr>
                <w:rFonts w:cs="Arial"/>
                <w:b/>
              </w:rPr>
              <w:t>£m</w:t>
            </w:r>
          </w:p>
        </w:tc>
        <w:tc>
          <w:tcPr>
            <w:tcW w:w="0" w:type="auto"/>
            <w:shd w:val="clear" w:color="auto" w:fill="BFBFBF" w:themeFill="background1" w:themeFillShade="BF"/>
            <w:vAlign w:val="center"/>
          </w:tcPr>
          <w:p w:rsidR="00237515" w:rsidRPr="008D6A03" w:rsidRDefault="00A445D6" w:rsidP="00237515">
            <w:pPr>
              <w:tabs>
                <w:tab w:val="left" w:pos="567"/>
                <w:tab w:val="left" w:pos="1134"/>
              </w:tabs>
              <w:spacing w:after="0"/>
              <w:jc w:val="center"/>
              <w:rPr>
                <w:rFonts w:cs="Arial"/>
                <w:b/>
              </w:rPr>
            </w:pPr>
            <w:r w:rsidRPr="008D6A03">
              <w:rPr>
                <w:rFonts w:cs="Arial"/>
                <w:b/>
              </w:rPr>
              <w:t>2021/22</w:t>
            </w:r>
          </w:p>
          <w:p w:rsidR="00237515" w:rsidRPr="008D6A03" w:rsidRDefault="00A445D6" w:rsidP="00237515">
            <w:pPr>
              <w:tabs>
                <w:tab w:val="left" w:pos="567"/>
                <w:tab w:val="left" w:pos="1134"/>
              </w:tabs>
              <w:spacing w:after="0"/>
              <w:jc w:val="center"/>
              <w:rPr>
                <w:rFonts w:cs="Arial"/>
                <w:b/>
              </w:rPr>
            </w:pPr>
            <w:r w:rsidRPr="008D6A03">
              <w:rPr>
                <w:rFonts w:cs="Arial"/>
                <w:b/>
              </w:rPr>
              <w:t>£m</w:t>
            </w:r>
          </w:p>
        </w:tc>
        <w:tc>
          <w:tcPr>
            <w:tcW w:w="1196" w:type="dxa"/>
            <w:shd w:val="clear" w:color="auto" w:fill="BFBFBF" w:themeFill="background1" w:themeFillShade="BF"/>
            <w:vAlign w:val="center"/>
          </w:tcPr>
          <w:p w:rsidR="00237515" w:rsidRPr="008D6A03" w:rsidRDefault="00A445D6" w:rsidP="00237515">
            <w:pPr>
              <w:tabs>
                <w:tab w:val="left" w:pos="567"/>
                <w:tab w:val="left" w:pos="1134"/>
              </w:tabs>
              <w:spacing w:after="0"/>
              <w:jc w:val="center"/>
              <w:rPr>
                <w:rFonts w:cs="Arial"/>
                <w:b/>
              </w:rPr>
            </w:pPr>
            <w:r w:rsidRPr="008D6A03">
              <w:rPr>
                <w:rFonts w:cs="Arial"/>
                <w:b/>
              </w:rPr>
              <w:t>2022/23</w:t>
            </w:r>
          </w:p>
          <w:p w:rsidR="00237515" w:rsidRPr="008D6A03" w:rsidRDefault="00A445D6" w:rsidP="00237515">
            <w:pPr>
              <w:tabs>
                <w:tab w:val="left" w:pos="567"/>
                <w:tab w:val="left" w:pos="1134"/>
              </w:tabs>
              <w:spacing w:after="0"/>
              <w:jc w:val="center"/>
              <w:rPr>
                <w:rFonts w:cs="Arial"/>
                <w:b/>
              </w:rPr>
            </w:pPr>
            <w:r w:rsidRPr="008D6A03">
              <w:rPr>
                <w:rFonts w:cs="Arial"/>
                <w:b/>
              </w:rPr>
              <w:t>£m</w:t>
            </w:r>
          </w:p>
        </w:tc>
        <w:tc>
          <w:tcPr>
            <w:tcW w:w="1085" w:type="dxa"/>
            <w:shd w:val="clear" w:color="auto" w:fill="BFBFBF" w:themeFill="background1" w:themeFillShade="BF"/>
            <w:vAlign w:val="center"/>
          </w:tcPr>
          <w:p w:rsidR="00237515" w:rsidRPr="008D6A03" w:rsidRDefault="00A445D6" w:rsidP="00237515">
            <w:pPr>
              <w:tabs>
                <w:tab w:val="left" w:pos="567"/>
                <w:tab w:val="left" w:pos="1134"/>
              </w:tabs>
              <w:spacing w:after="0"/>
              <w:jc w:val="center"/>
              <w:rPr>
                <w:rFonts w:cs="Arial"/>
                <w:b/>
              </w:rPr>
            </w:pPr>
            <w:r w:rsidRPr="008D6A03">
              <w:rPr>
                <w:rFonts w:cs="Arial"/>
                <w:b/>
              </w:rPr>
              <w:t>Total</w:t>
            </w:r>
          </w:p>
          <w:p w:rsidR="00237515" w:rsidRPr="008D6A03" w:rsidRDefault="00A445D6" w:rsidP="00237515">
            <w:pPr>
              <w:tabs>
                <w:tab w:val="left" w:pos="567"/>
                <w:tab w:val="left" w:pos="1134"/>
              </w:tabs>
              <w:spacing w:after="0"/>
              <w:jc w:val="center"/>
              <w:rPr>
                <w:rFonts w:cs="Arial"/>
                <w:b/>
              </w:rPr>
            </w:pPr>
            <w:r w:rsidRPr="008D6A03">
              <w:rPr>
                <w:rFonts w:cs="Arial"/>
                <w:b/>
              </w:rPr>
              <w:t>£m</w:t>
            </w:r>
          </w:p>
        </w:tc>
      </w:tr>
      <w:tr w:rsidR="00F0025F" w:rsidTr="00145244">
        <w:trPr>
          <w:trHeight w:val="692"/>
          <w:jc w:val="center"/>
        </w:trPr>
        <w:tc>
          <w:tcPr>
            <w:tcW w:w="0" w:type="auto"/>
            <w:vAlign w:val="center"/>
          </w:tcPr>
          <w:p w:rsidR="00237515" w:rsidRPr="008D6A03" w:rsidRDefault="00A445D6" w:rsidP="00237515">
            <w:pPr>
              <w:tabs>
                <w:tab w:val="left" w:pos="567"/>
                <w:tab w:val="left" w:pos="1134"/>
              </w:tabs>
              <w:spacing w:after="0"/>
              <w:jc w:val="left"/>
              <w:rPr>
                <w:rFonts w:cs="Arial"/>
              </w:rPr>
            </w:pPr>
            <w:r w:rsidRPr="008D6A03">
              <w:rPr>
                <w:rFonts w:cs="Arial"/>
              </w:rPr>
              <w:t>Adults Services</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15.2</w:t>
            </w:r>
            <w:r w:rsidRPr="008D6A03">
              <w:rPr>
                <w:rFonts w:cs="Arial"/>
              </w:rPr>
              <w:t>60</w:t>
            </w:r>
          </w:p>
        </w:tc>
        <w:tc>
          <w:tcPr>
            <w:tcW w:w="0" w:type="auto"/>
            <w:vAlign w:val="center"/>
          </w:tcPr>
          <w:p w:rsidR="00237515" w:rsidRPr="008D6A03" w:rsidRDefault="00A445D6" w:rsidP="00237515">
            <w:pPr>
              <w:tabs>
                <w:tab w:val="left" w:pos="567"/>
                <w:tab w:val="left" w:pos="1134"/>
              </w:tabs>
              <w:spacing w:after="0"/>
              <w:jc w:val="right"/>
              <w:rPr>
                <w:rFonts w:cs="Arial"/>
              </w:rPr>
            </w:pPr>
            <w:r w:rsidRPr="008D6A03">
              <w:rPr>
                <w:rFonts w:cs="Arial"/>
              </w:rPr>
              <w:t>16.360</w:t>
            </w:r>
          </w:p>
        </w:tc>
        <w:tc>
          <w:tcPr>
            <w:tcW w:w="0" w:type="auto"/>
            <w:vAlign w:val="center"/>
          </w:tcPr>
          <w:p w:rsidR="00237515" w:rsidRPr="008D6A03" w:rsidRDefault="00A445D6" w:rsidP="00237515">
            <w:pPr>
              <w:tabs>
                <w:tab w:val="left" w:pos="567"/>
                <w:tab w:val="left" w:pos="1134"/>
              </w:tabs>
              <w:spacing w:after="0"/>
              <w:jc w:val="right"/>
              <w:rPr>
                <w:rFonts w:cs="Arial"/>
              </w:rPr>
            </w:pPr>
            <w:r w:rsidRPr="008D6A03">
              <w:rPr>
                <w:rFonts w:cs="Arial"/>
              </w:rPr>
              <w:t>12.380</w:t>
            </w:r>
          </w:p>
        </w:tc>
        <w:tc>
          <w:tcPr>
            <w:tcW w:w="1196" w:type="dxa"/>
            <w:vAlign w:val="center"/>
          </w:tcPr>
          <w:p w:rsidR="00237515" w:rsidRPr="008D6A03" w:rsidRDefault="00A445D6" w:rsidP="00237515">
            <w:pPr>
              <w:tabs>
                <w:tab w:val="left" w:pos="567"/>
                <w:tab w:val="left" w:pos="1134"/>
              </w:tabs>
              <w:spacing w:after="0"/>
              <w:jc w:val="right"/>
              <w:rPr>
                <w:rFonts w:cs="Arial"/>
              </w:rPr>
            </w:pPr>
            <w:r w:rsidRPr="008D6A03">
              <w:rPr>
                <w:rFonts w:cs="Arial"/>
              </w:rPr>
              <w:t>13.147</w:t>
            </w:r>
          </w:p>
        </w:tc>
        <w:tc>
          <w:tcPr>
            <w:tcW w:w="1085" w:type="dxa"/>
            <w:vAlign w:val="center"/>
          </w:tcPr>
          <w:p w:rsidR="00237515" w:rsidRPr="008D6A03" w:rsidRDefault="00A445D6" w:rsidP="008D6A03">
            <w:pPr>
              <w:tabs>
                <w:tab w:val="left" w:pos="567"/>
                <w:tab w:val="left" w:pos="1134"/>
              </w:tabs>
              <w:spacing w:after="0"/>
              <w:jc w:val="right"/>
              <w:rPr>
                <w:rFonts w:cs="Arial"/>
                <w:b/>
              </w:rPr>
            </w:pPr>
            <w:r w:rsidRPr="008D6A03">
              <w:rPr>
                <w:rFonts w:cs="Arial"/>
                <w:b/>
              </w:rPr>
              <w:t>5</w:t>
            </w:r>
            <w:r>
              <w:rPr>
                <w:rFonts w:cs="Arial"/>
                <w:b/>
              </w:rPr>
              <w:t>7.1</w:t>
            </w:r>
            <w:r w:rsidRPr="008D6A03">
              <w:rPr>
                <w:rFonts w:cs="Arial"/>
                <w:b/>
              </w:rPr>
              <w:t>47</w:t>
            </w:r>
          </w:p>
        </w:tc>
      </w:tr>
      <w:tr w:rsidR="00F0025F" w:rsidTr="00145244">
        <w:trPr>
          <w:trHeight w:val="692"/>
          <w:jc w:val="center"/>
        </w:trPr>
        <w:tc>
          <w:tcPr>
            <w:tcW w:w="0" w:type="auto"/>
            <w:vAlign w:val="center"/>
          </w:tcPr>
          <w:p w:rsidR="00237515" w:rsidRPr="008D6A03" w:rsidRDefault="00A445D6" w:rsidP="00237515">
            <w:pPr>
              <w:tabs>
                <w:tab w:val="left" w:pos="567"/>
                <w:tab w:val="left" w:pos="1134"/>
              </w:tabs>
              <w:spacing w:after="0"/>
              <w:jc w:val="left"/>
              <w:rPr>
                <w:rFonts w:cs="Arial"/>
              </w:rPr>
            </w:pPr>
            <w:r w:rsidRPr="008D6A03">
              <w:rPr>
                <w:rFonts w:cs="Arial"/>
              </w:rPr>
              <w:t>Children's Services</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1.288</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1.141</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1.173</w:t>
            </w:r>
          </w:p>
        </w:tc>
        <w:tc>
          <w:tcPr>
            <w:tcW w:w="1196" w:type="dxa"/>
            <w:vAlign w:val="center"/>
          </w:tcPr>
          <w:p w:rsidR="00237515" w:rsidRPr="008D6A03" w:rsidRDefault="00A445D6" w:rsidP="00237515">
            <w:pPr>
              <w:tabs>
                <w:tab w:val="left" w:pos="567"/>
                <w:tab w:val="left" w:pos="1134"/>
              </w:tabs>
              <w:spacing w:after="0"/>
              <w:jc w:val="right"/>
              <w:rPr>
                <w:rFonts w:cs="Arial"/>
              </w:rPr>
            </w:pPr>
            <w:r>
              <w:rPr>
                <w:rFonts w:cs="Arial"/>
              </w:rPr>
              <w:t>1.657</w:t>
            </w:r>
          </w:p>
        </w:tc>
        <w:tc>
          <w:tcPr>
            <w:tcW w:w="1085" w:type="dxa"/>
            <w:vAlign w:val="center"/>
          </w:tcPr>
          <w:p w:rsidR="00237515" w:rsidRPr="008D6A03" w:rsidRDefault="00A445D6" w:rsidP="008D6A03">
            <w:pPr>
              <w:tabs>
                <w:tab w:val="left" w:pos="567"/>
                <w:tab w:val="left" w:pos="1134"/>
              </w:tabs>
              <w:spacing w:after="0"/>
              <w:jc w:val="right"/>
              <w:rPr>
                <w:rFonts w:cs="Arial"/>
                <w:b/>
              </w:rPr>
            </w:pPr>
            <w:r>
              <w:rPr>
                <w:rFonts w:cs="Arial"/>
                <w:b/>
              </w:rPr>
              <w:t>5.259</w:t>
            </w:r>
          </w:p>
        </w:tc>
      </w:tr>
      <w:tr w:rsidR="00F0025F" w:rsidTr="00145244">
        <w:trPr>
          <w:trHeight w:val="692"/>
          <w:jc w:val="center"/>
        </w:trPr>
        <w:tc>
          <w:tcPr>
            <w:tcW w:w="0" w:type="auto"/>
            <w:vAlign w:val="center"/>
          </w:tcPr>
          <w:p w:rsidR="00237515" w:rsidRPr="008D6A03" w:rsidRDefault="00A445D6" w:rsidP="00237515">
            <w:pPr>
              <w:tabs>
                <w:tab w:val="left" w:pos="567"/>
                <w:tab w:val="left" w:pos="1134"/>
              </w:tabs>
              <w:spacing w:after="0"/>
              <w:jc w:val="left"/>
              <w:rPr>
                <w:rFonts w:cs="Arial"/>
              </w:rPr>
            </w:pPr>
            <w:r w:rsidRPr="008D6A03">
              <w:rPr>
                <w:rFonts w:cs="Arial"/>
              </w:rPr>
              <w:t xml:space="preserve">Waste Services </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2.514</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2.286</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2.347</w:t>
            </w:r>
          </w:p>
        </w:tc>
        <w:tc>
          <w:tcPr>
            <w:tcW w:w="1196" w:type="dxa"/>
            <w:vAlign w:val="center"/>
          </w:tcPr>
          <w:p w:rsidR="00237515" w:rsidRPr="008D6A03" w:rsidRDefault="00A445D6" w:rsidP="00237515">
            <w:pPr>
              <w:tabs>
                <w:tab w:val="left" w:pos="567"/>
                <w:tab w:val="left" w:pos="1134"/>
              </w:tabs>
              <w:spacing w:after="0"/>
              <w:jc w:val="right"/>
              <w:rPr>
                <w:rFonts w:cs="Arial"/>
              </w:rPr>
            </w:pPr>
            <w:r>
              <w:rPr>
                <w:rFonts w:cs="Arial"/>
              </w:rPr>
              <w:t>2.578</w:t>
            </w:r>
          </w:p>
        </w:tc>
        <w:tc>
          <w:tcPr>
            <w:tcW w:w="1085" w:type="dxa"/>
            <w:vAlign w:val="center"/>
          </w:tcPr>
          <w:p w:rsidR="00237515" w:rsidRPr="008D6A03" w:rsidRDefault="00A445D6" w:rsidP="00237515">
            <w:pPr>
              <w:tabs>
                <w:tab w:val="left" w:pos="567"/>
                <w:tab w:val="left" w:pos="1134"/>
              </w:tabs>
              <w:spacing w:after="0"/>
              <w:jc w:val="right"/>
              <w:rPr>
                <w:rFonts w:cs="Arial"/>
                <w:b/>
              </w:rPr>
            </w:pPr>
            <w:r>
              <w:rPr>
                <w:rFonts w:cs="Arial"/>
                <w:b/>
              </w:rPr>
              <w:t>9.725</w:t>
            </w:r>
          </w:p>
        </w:tc>
      </w:tr>
      <w:tr w:rsidR="00F0025F" w:rsidTr="00145244">
        <w:trPr>
          <w:trHeight w:val="692"/>
          <w:jc w:val="center"/>
        </w:trPr>
        <w:tc>
          <w:tcPr>
            <w:tcW w:w="0" w:type="auto"/>
            <w:vAlign w:val="center"/>
          </w:tcPr>
          <w:p w:rsidR="00237515" w:rsidRPr="008D6A03" w:rsidRDefault="00A445D6" w:rsidP="00237515">
            <w:pPr>
              <w:tabs>
                <w:tab w:val="left" w:pos="567"/>
                <w:tab w:val="left" w:pos="1134"/>
              </w:tabs>
              <w:spacing w:after="0"/>
              <w:jc w:val="left"/>
              <w:rPr>
                <w:rFonts w:cs="Arial"/>
              </w:rPr>
            </w:pPr>
            <w:r w:rsidRPr="008D6A03">
              <w:rPr>
                <w:rFonts w:cs="Arial"/>
              </w:rPr>
              <w:t>Other Services</w:t>
            </w:r>
          </w:p>
        </w:tc>
        <w:tc>
          <w:tcPr>
            <w:tcW w:w="0" w:type="auto"/>
            <w:vAlign w:val="center"/>
          </w:tcPr>
          <w:p w:rsidR="00237515" w:rsidRPr="008D6A03" w:rsidRDefault="00A445D6" w:rsidP="008D6A03">
            <w:pPr>
              <w:tabs>
                <w:tab w:val="left" w:pos="567"/>
                <w:tab w:val="left" w:pos="1134"/>
              </w:tabs>
              <w:spacing w:after="0"/>
              <w:jc w:val="right"/>
              <w:rPr>
                <w:rFonts w:cs="Arial"/>
              </w:rPr>
            </w:pPr>
            <w:r>
              <w:rPr>
                <w:rFonts w:cs="Arial"/>
              </w:rPr>
              <w:t>4.029</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3.506</w:t>
            </w:r>
          </w:p>
        </w:tc>
        <w:tc>
          <w:tcPr>
            <w:tcW w:w="0" w:type="auto"/>
            <w:vAlign w:val="center"/>
          </w:tcPr>
          <w:p w:rsidR="00237515" w:rsidRPr="008D6A03" w:rsidRDefault="00A445D6" w:rsidP="00237515">
            <w:pPr>
              <w:tabs>
                <w:tab w:val="left" w:pos="567"/>
                <w:tab w:val="left" w:pos="1134"/>
              </w:tabs>
              <w:spacing w:after="0"/>
              <w:jc w:val="right"/>
              <w:rPr>
                <w:rFonts w:cs="Arial"/>
              </w:rPr>
            </w:pPr>
            <w:r>
              <w:rPr>
                <w:rFonts w:cs="Arial"/>
              </w:rPr>
              <w:t>3.452</w:t>
            </w:r>
          </w:p>
        </w:tc>
        <w:tc>
          <w:tcPr>
            <w:tcW w:w="1196" w:type="dxa"/>
            <w:vAlign w:val="center"/>
          </w:tcPr>
          <w:p w:rsidR="00237515" w:rsidRPr="008D6A03" w:rsidRDefault="00A445D6" w:rsidP="00237515">
            <w:pPr>
              <w:tabs>
                <w:tab w:val="left" w:pos="567"/>
                <w:tab w:val="left" w:pos="1134"/>
              </w:tabs>
              <w:spacing w:after="0"/>
              <w:jc w:val="right"/>
              <w:rPr>
                <w:rFonts w:cs="Arial"/>
              </w:rPr>
            </w:pPr>
            <w:r>
              <w:rPr>
                <w:rFonts w:cs="Arial"/>
              </w:rPr>
              <w:t>3.489</w:t>
            </w:r>
          </w:p>
        </w:tc>
        <w:tc>
          <w:tcPr>
            <w:tcW w:w="1085" w:type="dxa"/>
            <w:vAlign w:val="center"/>
          </w:tcPr>
          <w:p w:rsidR="00237515" w:rsidRPr="008D6A03" w:rsidRDefault="00A445D6" w:rsidP="00237515">
            <w:pPr>
              <w:tabs>
                <w:tab w:val="left" w:pos="567"/>
                <w:tab w:val="left" w:pos="1134"/>
              </w:tabs>
              <w:spacing w:after="0"/>
              <w:jc w:val="right"/>
              <w:rPr>
                <w:rFonts w:cs="Arial"/>
                <w:b/>
              </w:rPr>
            </w:pPr>
            <w:r>
              <w:rPr>
                <w:rFonts w:cs="Arial"/>
                <w:b/>
              </w:rPr>
              <w:t>14.476</w:t>
            </w:r>
          </w:p>
        </w:tc>
      </w:tr>
      <w:tr w:rsidR="00F0025F" w:rsidTr="00145244">
        <w:tblPrEx>
          <w:jc w:val="left"/>
        </w:tblPrEx>
        <w:trPr>
          <w:trHeight w:val="692"/>
        </w:trPr>
        <w:tc>
          <w:tcPr>
            <w:tcW w:w="0" w:type="auto"/>
            <w:vAlign w:val="center"/>
          </w:tcPr>
          <w:p w:rsidR="00237515" w:rsidRPr="008D6A03" w:rsidRDefault="00A445D6" w:rsidP="00237515">
            <w:pPr>
              <w:tabs>
                <w:tab w:val="left" w:pos="567"/>
                <w:tab w:val="left" w:pos="1134"/>
              </w:tabs>
              <w:spacing w:after="0"/>
              <w:jc w:val="left"/>
              <w:rPr>
                <w:rFonts w:cs="Arial"/>
                <w:b/>
              </w:rPr>
            </w:pPr>
            <w:r w:rsidRPr="008D6A03">
              <w:rPr>
                <w:rFonts w:cs="Arial"/>
                <w:b/>
              </w:rPr>
              <w:t>Revised price inflation requirements</w:t>
            </w:r>
          </w:p>
        </w:tc>
        <w:tc>
          <w:tcPr>
            <w:tcW w:w="0" w:type="auto"/>
            <w:vAlign w:val="center"/>
          </w:tcPr>
          <w:p w:rsidR="00237515" w:rsidRPr="008D6A03" w:rsidRDefault="00A445D6" w:rsidP="00237515">
            <w:pPr>
              <w:tabs>
                <w:tab w:val="left" w:pos="567"/>
                <w:tab w:val="left" w:pos="1134"/>
              </w:tabs>
              <w:spacing w:after="0"/>
              <w:jc w:val="right"/>
              <w:rPr>
                <w:rFonts w:cs="Arial"/>
                <w:b/>
              </w:rPr>
            </w:pPr>
            <w:r>
              <w:rPr>
                <w:rFonts w:cs="Arial"/>
                <w:b/>
              </w:rPr>
              <w:t>23.091</w:t>
            </w:r>
          </w:p>
        </w:tc>
        <w:tc>
          <w:tcPr>
            <w:tcW w:w="0" w:type="auto"/>
            <w:vAlign w:val="center"/>
          </w:tcPr>
          <w:p w:rsidR="00237515" w:rsidRPr="008D6A03" w:rsidRDefault="00A445D6" w:rsidP="00237515">
            <w:pPr>
              <w:tabs>
                <w:tab w:val="left" w:pos="567"/>
                <w:tab w:val="left" w:pos="1134"/>
              </w:tabs>
              <w:spacing w:after="0"/>
              <w:jc w:val="right"/>
              <w:rPr>
                <w:rFonts w:cs="Arial"/>
                <w:b/>
              </w:rPr>
            </w:pPr>
            <w:r>
              <w:rPr>
                <w:rFonts w:cs="Arial"/>
                <w:b/>
              </w:rPr>
              <w:t>23.293</w:t>
            </w:r>
          </w:p>
        </w:tc>
        <w:tc>
          <w:tcPr>
            <w:tcW w:w="0" w:type="auto"/>
            <w:vAlign w:val="center"/>
          </w:tcPr>
          <w:p w:rsidR="00237515" w:rsidRPr="008D6A03" w:rsidRDefault="00A445D6" w:rsidP="00237515">
            <w:pPr>
              <w:tabs>
                <w:tab w:val="left" w:pos="567"/>
                <w:tab w:val="left" w:pos="1134"/>
              </w:tabs>
              <w:spacing w:after="0"/>
              <w:jc w:val="right"/>
              <w:rPr>
                <w:rFonts w:cs="Arial"/>
                <w:b/>
              </w:rPr>
            </w:pPr>
            <w:r>
              <w:rPr>
                <w:rFonts w:cs="Arial"/>
                <w:b/>
              </w:rPr>
              <w:t>19.352</w:t>
            </w:r>
          </w:p>
        </w:tc>
        <w:tc>
          <w:tcPr>
            <w:tcW w:w="1196" w:type="dxa"/>
            <w:vAlign w:val="center"/>
          </w:tcPr>
          <w:p w:rsidR="00237515" w:rsidRPr="008D6A03" w:rsidRDefault="00A445D6" w:rsidP="00EF03B7">
            <w:pPr>
              <w:tabs>
                <w:tab w:val="left" w:pos="567"/>
                <w:tab w:val="left" w:pos="1134"/>
              </w:tabs>
              <w:spacing w:after="0"/>
              <w:jc w:val="right"/>
              <w:rPr>
                <w:rFonts w:cs="Arial"/>
                <w:b/>
              </w:rPr>
            </w:pPr>
            <w:r w:rsidRPr="008D6A03">
              <w:rPr>
                <w:rFonts w:cs="Arial"/>
                <w:b/>
              </w:rPr>
              <w:t>20.8</w:t>
            </w:r>
            <w:r>
              <w:rPr>
                <w:rFonts w:cs="Arial"/>
                <w:b/>
              </w:rPr>
              <w:t>71</w:t>
            </w:r>
          </w:p>
        </w:tc>
        <w:tc>
          <w:tcPr>
            <w:tcW w:w="1085" w:type="dxa"/>
            <w:vAlign w:val="center"/>
          </w:tcPr>
          <w:p w:rsidR="00237515" w:rsidRPr="008D6A03" w:rsidRDefault="00A445D6" w:rsidP="00237515">
            <w:pPr>
              <w:tabs>
                <w:tab w:val="left" w:pos="567"/>
                <w:tab w:val="left" w:pos="1134"/>
              </w:tabs>
              <w:spacing w:after="0"/>
              <w:jc w:val="right"/>
              <w:rPr>
                <w:rFonts w:cs="Arial"/>
                <w:b/>
              </w:rPr>
            </w:pPr>
            <w:r>
              <w:rPr>
                <w:rFonts w:cs="Arial"/>
                <w:b/>
              </w:rPr>
              <w:t>86.607</w:t>
            </w:r>
          </w:p>
        </w:tc>
      </w:tr>
      <w:tr w:rsidR="00F0025F" w:rsidTr="00145244">
        <w:trPr>
          <w:trHeight w:val="436"/>
          <w:jc w:val="center"/>
        </w:trPr>
        <w:tc>
          <w:tcPr>
            <w:tcW w:w="0" w:type="auto"/>
            <w:vAlign w:val="center"/>
          </w:tcPr>
          <w:p w:rsidR="00237515" w:rsidRPr="008D6A03" w:rsidRDefault="009E0214" w:rsidP="00237515">
            <w:pPr>
              <w:tabs>
                <w:tab w:val="left" w:pos="567"/>
                <w:tab w:val="left" w:pos="1134"/>
              </w:tabs>
              <w:spacing w:after="0"/>
              <w:jc w:val="left"/>
              <w:rPr>
                <w:rFonts w:cs="Arial"/>
              </w:rPr>
            </w:pPr>
          </w:p>
        </w:tc>
        <w:tc>
          <w:tcPr>
            <w:tcW w:w="0" w:type="auto"/>
            <w:vAlign w:val="center"/>
          </w:tcPr>
          <w:p w:rsidR="00237515" w:rsidRPr="008D6A03" w:rsidRDefault="009E0214" w:rsidP="00237515">
            <w:pPr>
              <w:tabs>
                <w:tab w:val="left" w:pos="567"/>
                <w:tab w:val="left" w:pos="1134"/>
              </w:tabs>
              <w:spacing w:after="0"/>
              <w:jc w:val="right"/>
              <w:rPr>
                <w:rFonts w:cs="Arial"/>
              </w:rPr>
            </w:pPr>
          </w:p>
        </w:tc>
        <w:tc>
          <w:tcPr>
            <w:tcW w:w="0" w:type="auto"/>
            <w:vAlign w:val="center"/>
          </w:tcPr>
          <w:p w:rsidR="00237515" w:rsidRPr="008D6A03" w:rsidRDefault="009E0214" w:rsidP="00237515">
            <w:pPr>
              <w:tabs>
                <w:tab w:val="left" w:pos="567"/>
                <w:tab w:val="left" w:pos="1134"/>
              </w:tabs>
              <w:spacing w:after="0"/>
              <w:jc w:val="right"/>
              <w:rPr>
                <w:rFonts w:cs="Arial"/>
              </w:rPr>
            </w:pPr>
          </w:p>
        </w:tc>
        <w:tc>
          <w:tcPr>
            <w:tcW w:w="0" w:type="auto"/>
            <w:vAlign w:val="center"/>
          </w:tcPr>
          <w:p w:rsidR="00237515" w:rsidRPr="008D6A03" w:rsidRDefault="009E0214" w:rsidP="00237515">
            <w:pPr>
              <w:tabs>
                <w:tab w:val="left" w:pos="567"/>
                <w:tab w:val="left" w:pos="1134"/>
              </w:tabs>
              <w:spacing w:after="0"/>
              <w:jc w:val="right"/>
              <w:rPr>
                <w:rFonts w:cs="Arial"/>
              </w:rPr>
            </w:pPr>
          </w:p>
        </w:tc>
        <w:tc>
          <w:tcPr>
            <w:tcW w:w="1196" w:type="dxa"/>
            <w:vAlign w:val="center"/>
          </w:tcPr>
          <w:p w:rsidR="00237515" w:rsidRPr="008D6A03" w:rsidRDefault="009E0214" w:rsidP="00237515">
            <w:pPr>
              <w:tabs>
                <w:tab w:val="left" w:pos="567"/>
                <w:tab w:val="left" w:pos="1134"/>
              </w:tabs>
              <w:spacing w:after="0"/>
              <w:jc w:val="right"/>
              <w:rPr>
                <w:rFonts w:cs="Arial"/>
                <w:b/>
              </w:rPr>
            </w:pPr>
          </w:p>
        </w:tc>
        <w:tc>
          <w:tcPr>
            <w:tcW w:w="1085" w:type="dxa"/>
            <w:vAlign w:val="center"/>
          </w:tcPr>
          <w:p w:rsidR="00237515" w:rsidRPr="008D6A03" w:rsidRDefault="009E0214" w:rsidP="00237515">
            <w:pPr>
              <w:tabs>
                <w:tab w:val="left" w:pos="567"/>
                <w:tab w:val="left" w:pos="1134"/>
              </w:tabs>
              <w:spacing w:after="0"/>
              <w:jc w:val="right"/>
              <w:rPr>
                <w:rFonts w:cs="Arial"/>
                <w:b/>
              </w:rPr>
            </w:pPr>
          </w:p>
        </w:tc>
      </w:tr>
      <w:tr w:rsidR="00F0025F" w:rsidTr="00145244">
        <w:tblPrEx>
          <w:jc w:val="left"/>
        </w:tblPrEx>
        <w:trPr>
          <w:trHeight w:val="692"/>
        </w:trPr>
        <w:tc>
          <w:tcPr>
            <w:tcW w:w="0" w:type="auto"/>
            <w:vAlign w:val="center"/>
          </w:tcPr>
          <w:p w:rsidR="00237515" w:rsidRPr="008D6A03" w:rsidRDefault="00A445D6" w:rsidP="00237515">
            <w:pPr>
              <w:tabs>
                <w:tab w:val="left" w:pos="567"/>
                <w:tab w:val="left" w:pos="1134"/>
              </w:tabs>
              <w:spacing w:after="0"/>
              <w:jc w:val="left"/>
              <w:rPr>
                <w:rFonts w:cs="Arial"/>
                <w:b/>
              </w:rPr>
            </w:pPr>
            <w:r w:rsidRPr="008D6A03">
              <w:rPr>
                <w:rFonts w:cs="Arial"/>
                <w:b/>
              </w:rPr>
              <w:t>Price inflation – previous MTFS</w:t>
            </w:r>
          </w:p>
        </w:tc>
        <w:tc>
          <w:tcPr>
            <w:tcW w:w="0" w:type="auto"/>
            <w:vAlign w:val="center"/>
          </w:tcPr>
          <w:p w:rsidR="00237515" w:rsidRPr="008D6A03" w:rsidRDefault="00A445D6" w:rsidP="00237515">
            <w:pPr>
              <w:tabs>
                <w:tab w:val="left" w:pos="567"/>
                <w:tab w:val="left" w:pos="1134"/>
              </w:tabs>
              <w:spacing w:after="0"/>
              <w:jc w:val="right"/>
              <w:rPr>
                <w:rFonts w:cs="Arial"/>
                <w:b/>
              </w:rPr>
            </w:pPr>
            <w:r>
              <w:rPr>
                <w:rFonts w:cs="Arial"/>
                <w:b/>
              </w:rPr>
              <w:t>20.129</w:t>
            </w:r>
          </w:p>
        </w:tc>
        <w:tc>
          <w:tcPr>
            <w:tcW w:w="0" w:type="auto"/>
            <w:vAlign w:val="center"/>
          </w:tcPr>
          <w:p w:rsidR="00237515" w:rsidRPr="008D6A03" w:rsidRDefault="00A445D6" w:rsidP="00EF03B7">
            <w:pPr>
              <w:tabs>
                <w:tab w:val="left" w:pos="567"/>
                <w:tab w:val="left" w:pos="1134"/>
              </w:tabs>
              <w:spacing w:after="0"/>
              <w:jc w:val="right"/>
              <w:rPr>
                <w:rFonts w:cs="Arial"/>
                <w:b/>
              </w:rPr>
            </w:pPr>
            <w:r w:rsidRPr="008D6A03">
              <w:rPr>
                <w:rFonts w:cs="Arial"/>
                <w:b/>
              </w:rPr>
              <w:t>22.7</w:t>
            </w:r>
            <w:r>
              <w:rPr>
                <w:rFonts w:cs="Arial"/>
                <w:b/>
              </w:rPr>
              <w:t>38</w:t>
            </w:r>
          </w:p>
        </w:tc>
        <w:tc>
          <w:tcPr>
            <w:tcW w:w="0" w:type="auto"/>
            <w:vAlign w:val="center"/>
          </w:tcPr>
          <w:p w:rsidR="00237515" w:rsidRPr="008D6A03" w:rsidRDefault="00A445D6" w:rsidP="00EF03B7">
            <w:pPr>
              <w:tabs>
                <w:tab w:val="left" w:pos="567"/>
                <w:tab w:val="left" w:pos="1134"/>
              </w:tabs>
              <w:spacing w:after="0"/>
              <w:jc w:val="right"/>
              <w:rPr>
                <w:rFonts w:cs="Arial"/>
                <w:b/>
              </w:rPr>
            </w:pPr>
            <w:r w:rsidRPr="008D6A03">
              <w:rPr>
                <w:rFonts w:cs="Arial"/>
                <w:b/>
              </w:rPr>
              <w:t>19.3</w:t>
            </w:r>
            <w:r>
              <w:rPr>
                <w:rFonts w:cs="Arial"/>
                <w:b/>
              </w:rPr>
              <w:t>89</w:t>
            </w:r>
          </w:p>
        </w:tc>
        <w:tc>
          <w:tcPr>
            <w:tcW w:w="1196" w:type="dxa"/>
            <w:vAlign w:val="center"/>
          </w:tcPr>
          <w:p w:rsidR="00237515" w:rsidRPr="008D6A03" w:rsidRDefault="00A445D6" w:rsidP="00EF03B7">
            <w:pPr>
              <w:tabs>
                <w:tab w:val="left" w:pos="567"/>
                <w:tab w:val="left" w:pos="1134"/>
              </w:tabs>
              <w:spacing w:after="0"/>
              <w:jc w:val="right"/>
              <w:rPr>
                <w:rFonts w:cs="Arial"/>
                <w:b/>
              </w:rPr>
            </w:pPr>
            <w:r w:rsidRPr="008D6A03">
              <w:rPr>
                <w:rFonts w:cs="Arial"/>
                <w:b/>
              </w:rPr>
              <w:t>20.</w:t>
            </w:r>
            <w:r>
              <w:rPr>
                <w:rFonts w:cs="Arial"/>
                <w:b/>
              </w:rPr>
              <w:t>824</w:t>
            </w:r>
          </w:p>
        </w:tc>
        <w:tc>
          <w:tcPr>
            <w:tcW w:w="1085" w:type="dxa"/>
            <w:vAlign w:val="center"/>
          </w:tcPr>
          <w:p w:rsidR="00237515" w:rsidRPr="008D6A03" w:rsidRDefault="00A445D6" w:rsidP="00737897">
            <w:pPr>
              <w:tabs>
                <w:tab w:val="left" w:pos="567"/>
                <w:tab w:val="left" w:pos="1134"/>
              </w:tabs>
              <w:spacing w:after="0"/>
              <w:jc w:val="right"/>
              <w:rPr>
                <w:rFonts w:cs="Arial"/>
                <w:b/>
              </w:rPr>
            </w:pPr>
            <w:r w:rsidRPr="008D6A03">
              <w:rPr>
                <w:rFonts w:cs="Arial"/>
                <w:b/>
              </w:rPr>
              <w:t>8</w:t>
            </w:r>
            <w:r>
              <w:rPr>
                <w:rFonts w:cs="Arial"/>
                <w:b/>
              </w:rPr>
              <w:t>3.080</w:t>
            </w:r>
          </w:p>
        </w:tc>
      </w:tr>
      <w:tr w:rsidR="00F0025F" w:rsidTr="00145244">
        <w:trPr>
          <w:trHeight w:val="436"/>
          <w:jc w:val="center"/>
        </w:trPr>
        <w:tc>
          <w:tcPr>
            <w:tcW w:w="0" w:type="auto"/>
            <w:vAlign w:val="center"/>
          </w:tcPr>
          <w:p w:rsidR="00237515" w:rsidRPr="008D6A03" w:rsidRDefault="009E0214" w:rsidP="00237515">
            <w:pPr>
              <w:tabs>
                <w:tab w:val="left" w:pos="567"/>
                <w:tab w:val="left" w:pos="1134"/>
              </w:tabs>
              <w:spacing w:after="0"/>
              <w:jc w:val="left"/>
              <w:rPr>
                <w:rFonts w:cs="Arial"/>
              </w:rPr>
            </w:pPr>
          </w:p>
        </w:tc>
        <w:tc>
          <w:tcPr>
            <w:tcW w:w="0" w:type="auto"/>
            <w:vAlign w:val="center"/>
          </w:tcPr>
          <w:p w:rsidR="00237515" w:rsidRPr="008D6A03" w:rsidRDefault="009E0214" w:rsidP="00237515">
            <w:pPr>
              <w:tabs>
                <w:tab w:val="left" w:pos="567"/>
                <w:tab w:val="left" w:pos="1134"/>
              </w:tabs>
              <w:spacing w:after="0"/>
              <w:jc w:val="right"/>
              <w:rPr>
                <w:rFonts w:cs="Arial"/>
              </w:rPr>
            </w:pPr>
          </w:p>
        </w:tc>
        <w:tc>
          <w:tcPr>
            <w:tcW w:w="0" w:type="auto"/>
            <w:vAlign w:val="center"/>
          </w:tcPr>
          <w:p w:rsidR="00237515" w:rsidRPr="008D6A03" w:rsidRDefault="009E0214" w:rsidP="00237515">
            <w:pPr>
              <w:tabs>
                <w:tab w:val="left" w:pos="567"/>
                <w:tab w:val="left" w:pos="1134"/>
              </w:tabs>
              <w:spacing w:after="0"/>
              <w:jc w:val="right"/>
              <w:rPr>
                <w:rFonts w:cs="Arial"/>
              </w:rPr>
            </w:pPr>
          </w:p>
        </w:tc>
        <w:tc>
          <w:tcPr>
            <w:tcW w:w="0" w:type="auto"/>
            <w:vAlign w:val="center"/>
          </w:tcPr>
          <w:p w:rsidR="00237515" w:rsidRPr="008D6A03" w:rsidRDefault="009E0214" w:rsidP="00237515">
            <w:pPr>
              <w:tabs>
                <w:tab w:val="left" w:pos="567"/>
                <w:tab w:val="left" w:pos="1134"/>
              </w:tabs>
              <w:spacing w:after="0"/>
              <w:jc w:val="right"/>
              <w:rPr>
                <w:rFonts w:cs="Arial"/>
              </w:rPr>
            </w:pPr>
          </w:p>
        </w:tc>
        <w:tc>
          <w:tcPr>
            <w:tcW w:w="1196" w:type="dxa"/>
            <w:vAlign w:val="center"/>
          </w:tcPr>
          <w:p w:rsidR="00237515" w:rsidRPr="008D6A03" w:rsidRDefault="009E0214" w:rsidP="00237515">
            <w:pPr>
              <w:tabs>
                <w:tab w:val="left" w:pos="567"/>
                <w:tab w:val="left" w:pos="1134"/>
              </w:tabs>
              <w:spacing w:after="0"/>
              <w:jc w:val="right"/>
              <w:rPr>
                <w:rFonts w:cs="Arial"/>
                <w:b/>
              </w:rPr>
            </w:pPr>
          </w:p>
        </w:tc>
        <w:tc>
          <w:tcPr>
            <w:tcW w:w="1085" w:type="dxa"/>
            <w:vAlign w:val="center"/>
          </w:tcPr>
          <w:p w:rsidR="00237515" w:rsidRPr="008D6A03" w:rsidRDefault="009E0214" w:rsidP="00237515">
            <w:pPr>
              <w:tabs>
                <w:tab w:val="left" w:pos="567"/>
                <w:tab w:val="left" w:pos="1134"/>
              </w:tabs>
              <w:spacing w:after="0"/>
              <w:jc w:val="right"/>
              <w:rPr>
                <w:rFonts w:cs="Arial"/>
                <w:b/>
              </w:rPr>
            </w:pPr>
          </w:p>
        </w:tc>
      </w:tr>
      <w:tr w:rsidR="00F0025F" w:rsidTr="00145244">
        <w:trPr>
          <w:trHeight w:val="436"/>
          <w:jc w:val="center"/>
        </w:trPr>
        <w:tc>
          <w:tcPr>
            <w:tcW w:w="0" w:type="auto"/>
            <w:vAlign w:val="center"/>
          </w:tcPr>
          <w:p w:rsidR="00237515" w:rsidRPr="008D6A03" w:rsidRDefault="00A445D6" w:rsidP="00237515">
            <w:pPr>
              <w:tabs>
                <w:tab w:val="left" w:pos="567"/>
                <w:tab w:val="left" w:pos="1134"/>
              </w:tabs>
              <w:spacing w:after="0"/>
              <w:jc w:val="left"/>
              <w:rPr>
                <w:rFonts w:cs="Arial"/>
              </w:rPr>
            </w:pPr>
            <w:r w:rsidRPr="008D6A03">
              <w:rPr>
                <w:rFonts w:cs="Arial"/>
                <w:b/>
              </w:rPr>
              <w:t>Impact on Financial Gap</w:t>
            </w:r>
          </w:p>
        </w:tc>
        <w:tc>
          <w:tcPr>
            <w:tcW w:w="0" w:type="auto"/>
            <w:vAlign w:val="center"/>
          </w:tcPr>
          <w:p w:rsidR="00237515" w:rsidRPr="004551E5" w:rsidRDefault="00A445D6" w:rsidP="004551E5">
            <w:pPr>
              <w:tabs>
                <w:tab w:val="left" w:pos="567"/>
                <w:tab w:val="left" w:pos="1134"/>
              </w:tabs>
              <w:spacing w:after="0"/>
              <w:jc w:val="right"/>
              <w:rPr>
                <w:rFonts w:cs="Arial"/>
                <w:b/>
              </w:rPr>
            </w:pPr>
            <w:r w:rsidRPr="004551E5">
              <w:rPr>
                <w:rFonts w:cs="Arial"/>
                <w:b/>
              </w:rPr>
              <w:t>2.968</w:t>
            </w:r>
          </w:p>
        </w:tc>
        <w:tc>
          <w:tcPr>
            <w:tcW w:w="0" w:type="auto"/>
            <w:vAlign w:val="center"/>
          </w:tcPr>
          <w:p w:rsidR="00237515" w:rsidRPr="004551E5" w:rsidRDefault="00A445D6" w:rsidP="00EF03B7">
            <w:pPr>
              <w:tabs>
                <w:tab w:val="left" w:pos="567"/>
                <w:tab w:val="left" w:pos="1134"/>
              </w:tabs>
              <w:spacing w:after="0"/>
              <w:jc w:val="right"/>
              <w:rPr>
                <w:rFonts w:cs="Arial"/>
                <w:b/>
              </w:rPr>
            </w:pPr>
            <w:r w:rsidRPr="004551E5">
              <w:rPr>
                <w:rFonts w:cs="Arial"/>
                <w:b/>
                <w:color w:val="auto"/>
              </w:rPr>
              <w:t>0.555</w:t>
            </w:r>
          </w:p>
        </w:tc>
        <w:tc>
          <w:tcPr>
            <w:tcW w:w="0" w:type="auto"/>
            <w:vAlign w:val="center"/>
          </w:tcPr>
          <w:p w:rsidR="00237515" w:rsidRPr="004551E5" w:rsidRDefault="00A445D6" w:rsidP="00EF03B7">
            <w:pPr>
              <w:tabs>
                <w:tab w:val="left" w:pos="567"/>
                <w:tab w:val="left" w:pos="1134"/>
              </w:tabs>
              <w:spacing w:after="0"/>
              <w:jc w:val="right"/>
              <w:rPr>
                <w:rFonts w:cs="Arial"/>
                <w:b/>
              </w:rPr>
            </w:pPr>
            <w:r w:rsidRPr="004551E5">
              <w:rPr>
                <w:rFonts w:cs="Arial"/>
                <w:b/>
              </w:rPr>
              <w:t>-0.037</w:t>
            </w:r>
          </w:p>
        </w:tc>
        <w:tc>
          <w:tcPr>
            <w:tcW w:w="1196" w:type="dxa"/>
            <w:vAlign w:val="center"/>
          </w:tcPr>
          <w:p w:rsidR="00237515" w:rsidRPr="004551E5" w:rsidRDefault="00A445D6" w:rsidP="00EF03B7">
            <w:pPr>
              <w:tabs>
                <w:tab w:val="left" w:pos="567"/>
                <w:tab w:val="left" w:pos="1134"/>
              </w:tabs>
              <w:spacing w:after="0"/>
              <w:jc w:val="right"/>
              <w:rPr>
                <w:rFonts w:cs="Arial"/>
                <w:b/>
              </w:rPr>
            </w:pPr>
            <w:r w:rsidRPr="004551E5">
              <w:rPr>
                <w:rFonts w:cs="Arial"/>
                <w:b/>
              </w:rPr>
              <w:t>0.047</w:t>
            </w:r>
          </w:p>
        </w:tc>
        <w:tc>
          <w:tcPr>
            <w:tcW w:w="1085" w:type="dxa"/>
            <w:vAlign w:val="center"/>
          </w:tcPr>
          <w:p w:rsidR="00237515" w:rsidRPr="004551E5" w:rsidRDefault="00A445D6" w:rsidP="004551E5">
            <w:pPr>
              <w:tabs>
                <w:tab w:val="left" w:pos="567"/>
                <w:tab w:val="left" w:pos="1134"/>
              </w:tabs>
              <w:spacing w:after="0"/>
              <w:jc w:val="right"/>
              <w:rPr>
                <w:rFonts w:cs="Arial"/>
                <w:b/>
              </w:rPr>
            </w:pPr>
            <w:r w:rsidRPr="004551E5">
              <w:rPr>
                <w:rFonts w:cs="Arial"/>
                <w:b/>
              </w:rPr>
              <w:t>3.533</w:t>
            </w:r>
          </w:p>
        </w:tc>
      </w:tr>
    </w:tbl>
    <w:p w:rsidR="001473AA" w:rsidRPr="005B5485" w:rsidRDefault="009E0214" w:rsidP="00B06504">
      <w:pPr>
        <w:spacing w:after="0"/>
        <w:rPr>
          <w:rFonts w:cs="Arial"/>
          <w:highlight w:val="yellow"/>
        </w:rPr>
      </w:pPr>
    </w:p>
    <w:p w:rsidR="00983467" w:rsidRDefault="009E0214" w:rsidP="00983467">
      <w:pPr>
        <w:spacing w:after="0"/>
        <w:rPr>
          <w:rFonts w:cs="Arial"/>
        </w:rPr>
      </w:pPr>
    </w:p>
    <w:p w:rsidR="00237515" w:rsidRPr="00112700" w:rsidRDefault="00A445D6" w:rsidP="00B06504">
      <w:pPr>
        <w:tabs>
          <w:tab w:val="left" w:pos="567"/>
          <w:tab w:val="left" w:pos="1134"/>
        </w:tabs>
        <w:spacing w:after="0"/>
        <w:rPr>
          <w:rFonts w:cs="Arial"/>
        </w:rPr>
      </w:pPr>
      <w:r>
        <w:rPr>
          <w:rFonts w:cs="Arial"/>
        </w:rPr>
        <w:t xml:space="preserve">A significant change in the </w:t>
      </w:r>
      <w:r w:rsidRPr="003547BE">
        <w:rPr>
          <w:rFonts w:cs="Arial"/>
        </w:rPr>
        <w:t xml:space="preserve">budget required </w:t>
      </w:r>
      <w:r>
        <w:rPr>
          <w:rFonts w:cs="Arial"/>
        </w:rPr>
        <w:t>for price increases relates to w</w:t>
      </w:r>
      <w:r w:rsidRPr="003547BE">
        <w:rPr>
          <w:rFonts w:cs="Arial"/>
        </w:rPr>
        <w:t>aste disposal with a requirement of £9.725m over the next 4 years</w:t>
      </w:r>
      <w:r>
        <w:rPr>
          <w:rFonts w:cs="Arial"/>
        </w:rPr>
        <w:t>. This</w:t>
      </w:r>
      <w:r w:rsidRPr="003547BE">
        <w:rPr>
          <w:rFonts w:cs="Arial"/>
        </w:rPr>
        <w:t xml:space="preserve"> largely relates to landfill tax, gate fees and increased prices charged by companies who are taking waste to turn into refuse derived fuel or organic growth material. This represents an increase of £2.055m compared to quarter 2 as the prices companies are charging to divert waste from landfill has increased but is still less expensive than landfill.</w:t>
      </w:r>
    </w:p>
    <w:p w:rsidR="003547BE" w:rsidRDefault="009E0214" w:rsidP="00B06504">
      <w:pPr>
        <w:tabs>
          <w:tab w:val="left" w:pos="567"/>
          <w:tab w:val="left" w:pos="1134"/>
        </w:tabs>
        <w:spacing w:after="0"/>
        <w:rPr>
          <w:rFonts w:cs="Arial"/>
        </w:rPr>
      </w:pPr>
    </w:p>
    <w:p w:rsidR="00983467" w:rsidRPr="005B5485" w:rsidRDefault="00A445D6" w:rsidP="00B06504">
      <w:pPr>
        <w:tabs>
          <w:tab w:val="left" w:pos="567"/>
          <w:tab w:val="left" w:pos="1134"/>
        </w:tabs>
        <w:spacing w:after="0"/>
        <w:rPr>
          <w:rFonts w:cs="Arial"/>
          <w:b/>
          <w:highlight w:val="yellow"/>
        </w:rPr>
      </w:pPr>
      <w:r w:rsidRPr="003547BE">
        <w:rPr>
          <w:rFonts w:cs="Arial"/>
        </w:rPr>
        <w:t>The other service area that has resulted in increased inflationary pressures is transport particularly relating to transport costs of children with special educational needs and excluded pupils due to higher than projected price increases for taxi contracts.</w:t>
      </w:r>
    </w:p>
    <w:p w:rsidR="00237515" w:rsidRPr="005B5485" w:rsidRDefault="009E0214" w:rsidP="00B06504">
      <w:pPr>
        <w:tabs>
          <w:tab w:val="left" w:pos="567"/>
          <w:tab w:val="left" w:pos="1134"/>
        </w:tabs>
        <w:spacing w:after="0"/>
        <w:rPr>
          <w:rFonts w:cs="Arial"/>
          <w:b/>
          <w:highlight w:val="yellow"/>
        </w:rPr>
      </w:pPr>
    </w:p>
    <w:p w:rsidR="00237515" w:rsidRDefault="009E0214" w:rsidP="00B06504">
      <w:pPr>
        <w:tabs>
          <w:tab w:val="left" w:pos="567"/>
          <w:tab w:val="left" w:pos="1134"/>
        </w:tabs>
        <w:spacing w:after="0"/>
        <w:rPr>
          <w:rFonts w:cs="Arial"/>
          <w:b/>
          <w:highlight w:val="yellow"/>
        </w:rPr>
      </w:pPr>
    </w:p>
    <w:p w:rsidR="003547BE" w:rsidRDefault="009E0214" w:rsidP="00B06504">
      <w:pPr>
        <w:tabs>
          <w:tab w:val="left" w:pos="567"/>
          <w:tab w:val="left" w:pos="1134"/>
        </w:tabs>
        <w:spacing w:after="0"/>
        <w:rPr>
          <w:rFonts w:cs="Arial"/>
          <w:b/>
          <w:highlight w:val="yellow"/>
        </w:rPr>
      </w:pPr>
    </w:p>
    <w:p w:rsidR="003547BE" w:rsidRDefault="009E0214" w:rsidP="00B06504">
      <w:pPr>
        <w:tabs>
          <w:tab w:val="left" w:pos="567"/>
          <w:tab w:val="left" w:pos="1134"/>
        </w:tabs>
        <w:spacing w:after="0"/>
        <w:rPr>
          <w:rFonts w:cs="Arial"/>
          <w:b/>
          <w:highlight w:val="yellow"/>
        </w:rPr>
      </w:pPr>
    </w:p>
    <w:p w:rsidR="007446EE" w:rsidRPr="005B5485" w:rsidRDefault="009E0214" w:rsidP="00B06504">
      <w:pPr>
        <w:tabs>
          <w:tab w:val="left" w:pos="567"/>
          <w:tab w:val="left" w:pos="1134"/>
        </w:tabs>
        <w:spacing w:after="0"/>
        <w:rPr>
          <w:rFonts w:cs="Arial"/>
          <w:b/>
          <w:highlight w:val="yellow"/>
        </w:rPr>
      </w:pPr>
    </w:p>
    <w:p w:rsidR="00112700" w:rsidRDefault="009E0214" w:rsidP="00B06504">
      <w:pPr>
        <w:tabs>
          <w:tab w:val="left" w:pos="567"/>
          <w:tab w:val="left" w:pos="1134"/>
        </w:tabs>
        <w:spacing w:after="0"/>
        <w:rPr>
          <w:rFonts w:cs="Arial"/>
          <w:b/>
          <w:highlight w:val="yellow"/>
        </w:rPr>
      </w:pPr>
    </w:p>
    <w:p w:rsidR="00112700" w:rsidRDefault="009E0214" w:rsidP="00B06504">
      <w:pPr>
        <w:tabs>
          <w:tab w:val="left" w:pos="567"/>
          <w:tab w:val="left" w:pos="1134"/>
        </w:tabs>
        <w:spacing w:after="0"/>
        <w:rPr>
          <w:rFonts w:cs="Arial"/>
          <w:b/>
          <w:highlight w:val="yellow"/>
        </w:rPr>
      </w:pPr>
    </w:p>
    <w:p w:rsidR="00B06504" w:rsidRPr="00112700" w:rsidRDefault="00A445D6" w:rsidP="00B06504">
      <w:pPr>
        <w:tabs>
          <w:tab w:val="left" w:pos="567"/>
          <w:tab w:val="left" w:pos="1134"/>
        </w:tabs>
        <w:spacing w:after="0"/>
        <w:rPr>
          <w:rFonts w:cs="Arial"/>
          <w:b/>
        </w:rPr>
      </w:pPr>
      <w:r w:rsidRPr="00112700">
        <w:rPr>
          <w:rFonts w:cs="Arial"/>
          <w:b/>
        </w:rPr>
        <w:t>3.3</w:t>
      </w:r>
      <w:r w:rsidRPr="00112700">
        <w:rPr>
          <w:rFonts w:cs="Arial"/>
          <w:b/>
        </w:rPr>
        <w:tab/>
        <w:t>Demand Pressures</w:t>
      </w:r>
    </w:p>
    <w:p w:rsidR="00B06504" w:rsidRPr="00112700" w:rsidRDefault="009E0214" w:rsidP="00B06504">
      <w:pPr>
        <w:tabs>
          <w:tab w:val="left" w:pos="567"/>
          <w:tab w:val="left" w:pos="1134"/>
        </w:tabs>
        <w:spacing w:after="0"/>
        <w:rPr>
          <w:rFonts w:cs="Arial"/>
          <w:b/>
        </w:rPr>
      </w:pPr>
    </w:p>
    <w:p w:rsidR="00B06504" w:rsidRPr="00D929BA" w:rsidRDefault="00A445D6" w:rsidP="00B06504">
      <w:pPr>
        <w:tabs>
          <w:tab w:val="left" w:pos="567"/>
          <w:tab w:val="left" w:pos="1134"/>
        </w:tabs>
        <w:spacing w:after="0"/>
        <w:rPr>
          <w:rFonts w:cs="Arial"/>
        </w:rPr>
      </w:pPr>
      <w:r w:rsidRPr="00112700">
        <w:rPr>
          <w:rFonts w:cs="Arial"/>
        </w:rPr>
        <w:t xml:space="preserve">All services have reviewed the demand pressures they face in future years and whilst they have reduced overall, increasing demand still remains a significant element of the </w:t>
      </w:r>
      <w:r w:rsidRPr="00D929BA">
        <w:rPr>
          <w:rFonts w:cs="Arial"/>
        </w:rPr>
        <w:t xml:space="preserve">funding gap. The MTFS at quarter 3 forecasts decreased requirement </w:t>
      </w:r>
      <w:r w:rsidRPr="004551E5">
        <w:rPr>
          <w:rFonts w:cs="Arial"/>
        </w:rPr>
        <w:t>of £1.136m</w:t>
      </w:r>
      <w:r w:rsidRPr="00D929BA">
        <w:rPr>
          <w:rFonts w:cs="Arial"/>
        </w:rPr>
        <w:t xml:space="preserve"> when comparing those years contained within the previous MTFS.</w:t>
      </w:r>
    </w:p>
    <w:p w:rsidR="00B06504" w:rsidRPr="00D929BA" w:rsidRDefault="009E0214" w:rsidP="00B06504">
      <w:pPr>
        <w:tabs>
          <w:tab w:val="left" w:pos="567"/>
          <w:tab w:val="left" w:pos="1134"/>
        </w:tabs>
        <w:spacing w:after="0"/>
        <w:rPr>
          <w:rFonts w:cs="Arial"/>
        </w:rPr>
      </w:pPr>
    </w:p>
    <w:p w:rsidR="00B06504" w:rsidRPr="00D929BA" w:rsidRDefault="00A445D6" w:rsidP="00B06504">
      <w:pPr>
        <w:tabs>
          <w:tab w:val="left" w:pos="567"/>
          <w:tab w:val="left" w:pos="1134"/>
        </w:tabs>
        <w:spacing w:after="0"/>
        <w:rPr>
          <w:rFonts w:cs="Arial"/>
          <w:b/>
          <w:i/>
          <w:u w:val="single"/>
        </w:rPr>
      </w:pPr>
      <w:r w:rsidRPr="00D929BA">
        <w:rPr>
          <w:rFonts w:cs="Arial"/>
          <w:b/>
          <w:i/>
          <w:u w:val="single"/>
        </w:rPr>
        <w:t>Table 6</w:t>
      </w:r>
    </w:p>
    <w:p w:rsidR="00B06504" w:rsidRPr="005B5485" w:rsidRDefault="009E0214" w:rsidP="00B06504">
      <w:pPr>
        <w:tabs>
          <w:tab w:val="left" w:pos="567"/>
          <w:tab w:val="left" w:pos="1134"/>
        </w:tabs>
        <w:spacing w:after="0"/>
        <w:rPr>
          <w:rFonts w:cs="Arial"/>
          <w:highlight w:val="yellow"/>
        </w:rPr>
      </w:pPr>
    </w:p>
    <w:tbl>
      <w:tblPr>
        <w:tblStyle w:val="TableGrid"/>
        <w:tblW w:w="7932" w:type="dxa"/>
        <w:jc w:val="center"/>
        <w:tblLook w:val="04A0" w:firstRow="1" w:lastRow="0" w:firstColumn="1" w:lastColumn="0" w:noHBand="0" w:noVBand="1"/>
      </w:tblPr>
      <w:tblGrid>
        <w:gridCol w:w="2390"/>
        <w:gridCol w:w="1084"/>
        <w:gridCol w:w="1084"/>
        <w:gridCol w:w="1084"/>
        <w:gridCol w:w="1145"/>
        <w:gridCol w:w="1145"/>
      </w:tblGrid>
      <w:tr w:rsidR="00F0025F" w:rsidTr="00B06504">
        <w:trPr>
          <w:trHeight w:val="684"/>
          <w:jc w:val="center"/>
        </w:trPr>
        <w:tc>
          <w:tcPr>
            <w:tcW w:w="0" w:type="auto"/>
            <w:shd w:val="clear" w:color="auto" w:fill="BFBFBF" w:themeFill="background1" w:themeFillShade="BF"/>
          </w:tcPr>
          <w:p w:rsidR="00B06504" w:rsidRPr="005B5485" w:rsidRDefault="009E0214" w:rsidP="00B06504">
            <w:pPr>
              <w:tabs>
                <w:tab w:val="left" w:pos="567"/>
                <w:tab w:val="left" w:pos="1134"/>
              </w:tabs>
              <w:spacing w:after="0"/>
              <w:rPr>
                <w:rFonts w:cs="Arial"/>
                <w:highlight w:val="yellow"/>
              </w:rPr>
            </w:pPr>
          </w:p>
        </w:tc>
        <w:tc>
          <w:tcPr>
            <w:tcW w:w="0" w:type="auto"/>
            <w:shd w:val="clear" w:color="auto" w:fill="BFBFBF" w:themeFill="background1" w:themeFillShade="BF"/>
            <w:vAlign w:val="center"/>
          </w:tcPr>
          <w:p w:rsidR="00B06504" w:rsidRPr="00D929BA" w:rsidRDefault="00A445D6" w:rsidP="00B06504">
            <w:pPr>
              <w:tabs>
                <w:tab w:val="left" w:pos="567"/>
                <w:tab w:val="left" w:pos="1134"/>
              </w:tabs>
              <w:spacing w:after="0"/>
              <w:jc w:val="center"/>
              <w:rPr>
                <w:rFonts w:cs="Arial"/>
                <w:b/>
              </w:rPr>
            </w:pPr>
            <w:r w:rsidRPr="00D929BA">
              <w:rPr>
                <w:rFonts w:cs="Arial"/>
                <w:b/>
              </w:rPr>
              <w:t>2019/20</w:t>
            </w:r>
          </w:p>
          <w:p w:rsidR="00B06504" w:rsidRPr="00D929BA" w:rsidRDefault="00A445D6" w:rsidP="00B06504">
            <w:pPr>
              <w:tabs>
                <w:tab w:val="left" w:pos="567"/>
                <w:tab w:val="left" w:pos="1134"/>
              </w:tabs>
              <w:spacing w:after="0"/>
              <w:jc w:val="center"/>
              <w:rPr>
                <w:rFonts w:cs="Arial"/>
                <w:b/>
              </w:rPr>
            </w:pPr>
            <w:r w:rsidRPr="00D929BA">
              <w:rPr>
                <w:rFonts w:cs="Arial"/>
                <w:b/>
              </w:rPr>
              <w:t>£m</w:t>
            </w:r>
          </w:p>
        </w:tc>
        <w:tc>
          <w:tcPr>
            <w:tcW w:w="0" w:type="auto"/>
            <w:shd w:val="clear" w:color="auto" w:fill="BFBFBF" w:themeFill="background1" w:themeFillShade="BF"/>
            <w:vAlign w:val="center"/>
          </w:tcPr>
          <w:p w:rsidR="00B06504" w:rsidRPr="00D929BA" w:rsidRDefault="00A445D6" w:rsidP="00B06504">
            <w:pPr>
              <w:tabs>
                <w:tab w:val="left" w:pos="567"/>
                <w:tab w:val="left" w:pos="1134"/>
              </w:tabs>
              <w:spacing w:after="0"/>
              <w:jc w:val="center"/>
              <w:rPr>
                <w:rFonts w:cs="Arial"/>
                <w:b/>
              </w:rPr>
            </w:pPr>
            <w:r w:rsidRPr="00D929BA">
              <w:rPr>
                <w:rFonts w:cs="Arial"/>
                <w:b/>
              </w:rPr>
              <w:t>2020/21</w:t>
            </w:r>
          </w:p>
          <w:p w:rsidR="00B06504" w:rsidRPr="00D929BA" w:rsidRDefault="00A445D6" w:rsidP="00B06504">
            <w:pPr>
              <w:tabs>
                <w:tab w:val="left" w:pos="567"/>
                <w:tab w:val="left" w:pos="1134"/>
              </w:tabs>
              <w:spacing w:after="0"/>
              <w:jc w:val="center"/>
              <w:rPr>
                <w:rFonts w:cs="Arial"/>
                <w:b/>
              </w:rPr>
            </w:pPr>
            <w:r w:rsidRPr="00D929BA">
              <w:rPr>
                <w:rFonts w:cs="Arial"/>
                <w:b/>
              </w:rPr>
              <w:t>£m</w:t>
            </w:r>
          </w:p>
        </w:tc>
        <w:tc>
          <w:tcPr>
            <w:tcW w:w="0" w:type="auto"/>
            <w:shd w:val="clear" w:color="auto" w:fill="BFBFBF" w:themeFill="background1" w:themeFillShade="BF"/>
            <w:vAlign w:val="center"/>
          </w:tcPr>
          <w:p w:rsidR="00B06504" w:rsidRPr="00D929BA" w:rsidRDefault="00A445D6" w:rsidP="00B06504">
            <w:pPr>
              <w:tabs>
                <w:tab w:val="left" w:pos="567"/>
                <w:tab w:val="left" w:pos="1134"/>
              </w:tabs>
              <w:spacing w:after="0"/>
              <w:jc w:val="center"/>
              <w:rPr>
                <w:rFonts w:cs="Arial"/>
                <w:b/>
              </w:rPr>
            </w:pPr>
            <w:r w:rsidRPr="00D929BA">
              <w:rPr>
                <w:rFonts w:cs="Arial"/>
                <w:b/>
              </w:rPr>
              <w:t>2021/22</w:t>
            </w:r>
          </w:p>
          <w:p w:rsidR="00B06504" w:rsidRPr="00D929BA" w:rsidRDefault="00A445D6" w:rsidP="00B06504">
            <w:pPr>
              <w:tabs>
                <w:tab w:val="left" w:pos="567"/>
                <w:tab w:val="left" w:pos="1134"/>
              </w:tabs>
              <w:spacing w:after="0"/>
              <w:jc w:val="center"/>
              <w:rPr>
                <w:rFonts w:cs="Arial"/>
                <w:b/>
              </w:rPr>
            </w:pPr>
            <w:r w:rsidRPr="00D929BA">
              <w:rPr>
                <w:rFonts w:cs="Arial"/>
                <w:b/>
              </w:rPr>
              <w:t>£m</w:t>
            </w:r>
          </w:p>
        </w:tc>
        <w:tc>
          <w:tcPr>
            <w:tcW w:w="1145" w:type="dxa"/>
            <w:shd w:val="clear" w:color="auto" w:fill="BFBFBF" w:themeFill="background1" w:themeFillShade="BF"/>
            <w:vAlign w:val="center"/>
          </w:tcPr>
          <w:p w:rsidR="00B06504" w:rsidRPr="00D929BA" w:rsidRDefault="00A445D6" w:rsidP="00B06504">
            <w:pPr>
              <w:tabs>
                <w:tab w:val="left" w:pos="567"/>
                <w:tab w:val="left" w:pos="1134"/>
              </w:tabs>
              <w:spacing w:after="0"/>
              <w:jc w:val="center"/>
              <w:rPr>
                <w:rFonts w:cs="Arial"/>
                <w:b/>
              </w:rPr>
            </w:pPr>
            <w:r w:rsidRPr="00D929BA">
              <w:rPr>
                <w:rFonts w:cs="Arial"/>
                <w:b/>
              </w:rPr>
              <w:t>2022/23</w:t>
            </w:r>
          </w:p>
          <w:p w:rsidR="00B06504" w:rsidRPr="00D929BA" w:rsidRDefault="00A445D6" w:rsidP="00B06504">
            <w:pPr>
              <w:tabs>
                <w:tab w:val="left" w:pos="567"/>
                <w:tab w:val="left" w:pos="1134"/>
              </w:tabs>
              <w:spacing w:after="0"/>
              <w:jc w:val="center"/>
              <w:rPr>
                <w:rFonts w:cs="Arial"/>
                <w:b/>
              </w:rPr>
            </w:pPr>
            <w:r w:rsidRPr="00D929BA">
              <w:rPr>
                <w:rFonts w:cs="Arial"/>
                <w:b/>
              </w:rPr>
              <w:t>£m</w:t>
            </w:r>
          </w:p>
        </w:tc>
        <w:tc>
          <w:tcPr>
            <w:tcW w:w="1145" w:type="dxa"/>
            <w:shd w:val="clear" w:color="auto" w:fill="BFBFBF" w:themeFill="background1" w:themeFillShade="BF"/>
            <w:vAlign w:val="center"/>
          </w:tcPr>
          <w:p w:rsidR="00B06504" w:rsidRPr="00D929BA" w:rsidRDefault="00A445D6" w:rsidP="00B06504">
            <w:pPr>
              <w:tabs>
                <w:tab w:val="left" w:pos="567"/>
                <w:tab w:val="left" w:pos="1134"/>
              </w:tabs>
              <w:spacing w:after="0"/>
              <w:jc w:val="center"/>
              <w:rPr>
                <w:rFonts w:cs="Arial"/>
                <w:b/>
              </w:rPr>
            </w:pPr>
            <w:r w:rsidRPr="00D929BA">
              <w:rPr>
                <w:rFonts w:cs="Arial"/>
                <w:b/>
              </w:rPr>
              <w:t>Total</w:t>
            </w:r>
          </w:p>
          <w:p w:rsidR="00B06504" w:rsidRPr="00D929BA" w:rsidRDefault="00A445D6" w:rsidP="00B06504">
            <w:pPr>
              <w:tabs>
                <w:tab w:val="left" w:pos="567"/>
                <w:tab w:val="left" w:pos="1134"/>
              </w:tabs>
              <w:spacing w:after="0"/>
              <w:jc w:val="center"/>
              <w:rPr>
                <w:rFonts w:cs="Arial"/>
                <w:b/>
              </w:rPr>
            </w:pPr>
            <w:r w:rsidRPr="00D929BA">
              <w:rPr>
                <w:rFonts w:cs="Arial"/>
                <w:b/>
              </w:rPr>
              <w:t>£m</w:t>
            </w:r>
          </w:p>
        </w:tc>
      </w:tr>
      <w:tr w:rsidR="00F0025F" w:rsidTr="00B06504">
        <w:trPr>
          <w:trHeight w:val="684"/>
          <w:jc w:val="center"/>
        </w:trPr>
        <w:tc>
          <w:tcPr>
            <w:tcW w:w="0" w:type="auto"/>
            <w:vAlign w:val="center"/>
          </w:tcPr>
          <w:p w:rsidR="00B06504" w:rsidRPr="00A72805" w:rsidRDefault="00A445D6" w:rsidP="00B06504">
            <w:pPr>
              <w:tabs>
                <w:tab w:val="left" w:pos="567"/>
                <w:tab w:val="left" w:pos="1134"/>
              </w:tabs>
              <w:spacing w:after="0"/>
              <w:jc w:val="left"/>
              <w:rPr>
                <w:rFonts w:cs="Arial"/>
              </w:rPr>
            </w:pPr>
            <w:r w:rsidRPr="00A72805">
              <w:rPr>
                <w:rFonts w:cs="Arial"/>
              </w:rPr>
              <w:t>Adults Services</w:t>
            </w:r>
          </w:p>
        </w:tc>
        <w:tc>
          <w:tcPr>
            <w:tcW w:w="0" w:type="auto"/>
            <w:vAlign w:val="center"/>
          </w:tcPr>
          <w:p w:rsidR="00B06504" w:rsidRPr="00D929BA" w:rsidRDefault="00A445D6" w:rsidP="00B06504">
            <w:pPr>
              <w:tabs>
                <w:tab w:val="left" w:pos="567"/>
                <w:tab w:val="left" w:pos="1134"/>
              </w:tabs>
              <w:spacing w:after="0"/>
              <w:jc w:val="right"/>
              <w:rPr>
                <w:rFonts w:cs="Arial"/>
              </w:rPr>
            </w:pPr>
            <w:r w:rsidRPr="00D929BA">
              <w:rPr>
                <w:rFonts w:cs="Arial"/>
              </w:rPr>
              <w:t>15.049</w:t>
            </w:r>
          </w:p>
        </w:tc>
        <w:tc>
          <w:tcPr>
            <w:tcW w:w="0" w:type="auto"/>
            <w:vAlign w:val="center"/>
          </w:tcPr>
          <w:p w:rsidR="00B06504" w:rsidRPr="00D929BA" w:rsidRDefault="00A445D6" w:rsidP="00B06504">
            <w:pPr>
              <w:tabs>
                <w:tab w:val="left" w:pos="567"/>
                <w:tab w:val="left" w:pos="1134"/>
              </w:tabs>
              <w:spacing w:after="0"/>
              <w:jc w:val="right"/>
              <w:rPr>
                <w:rFonts w:cs="Arial"/>
              </w:rPr>
            </w:pPr>
            <w:r w:rsidRPr="00D929BA">
              <w:rPr>
                <w:rFonts w:cs="Arial"/>
              </w:rPr>
              <w:t>15.831</w:t>
            </w:r>
          </w:p>
        </w:tc>
        <w:tc>
          <w:tcPr>
            <w:tcW w:w="0" w:type="auto"/>
            <w:vAlign w:val="center"/>
          </w:tcPr>
          <w:p w:rsidR="00B06504" w:rsidRPr="00D929BA" w:rsidRDefault="00A445D6" w:rsidP="00B06504">
            <w:pPr>
              <w:tabs>
                <w:tab w:val="left" w:pos="567"/>
                <w:tab w:val="left" w:pos="1134"/>
              </w:tabs>
              <w:spacing w:after="0"/>
              <w:jc w:val="right"/>
              <w:rPr>
                <w:rFonts w:cs="Arial"/>
              </w:rPr>
            </w:pPr>
            <w:r w:rsidRPr="00D929BA">
              <w:rPr>
                <w:rFonts w:cs="Arial"/>
              </w:rPr>
              <w:t>9.473</w:t>
            </w:r>
          </w:p>
        </w:tc>
        <w:tc>
          <w:tcPr>
            <w:tcW w:w="1145" w:type="dxa"/>
            <w:vAlign w:val="center"/>
          </w:tcPr>
          <w:p w:rsidR="00B06504" w:rsidRPr="00D929BA" w:rsidRDefault="00A445D6" w:rsidP="00B06504">
            <w:pPr>
              <w:tabs>
                <w:tab w:val="left" w:pos="567"/>
                <w:tab w:val="left" w:pos="1134"/>
              </w:tabs>
              <w:spacing w:after="0"/>
              <w:jc w:val="right"/>
              <w:rPr>
                <w:rFonts w:cs="Arial"/>
              </w:rPr>
            </w:pPr>
            <w:r w:rsidRPr="00D929BA">
              <w:rPr>
                <w:rFonts w:cs="Arial"/>
              </w:rPr>
              <w:t>10.163</w:t>
            </w:r>
          </w:p>
        </w:tc>
        <w:tc>
          <w:tcPr>
            <w:tcW w:w="1145" w:type="dxa"/>
            <w:vAlign w:val="center"/>
          </w:tcPr>
          <w:p w:rsidR="00B06504" w:rsidRPr="00D929BA" w:rsidRDefault="00A445D6" w:rsidP="00B06504">
            <w:pPr>
              <w:tabs>
                <w:tab w:val="left" w:pos="567"/>
                <w:tab w:val="left" w:pos="1134"/>
              </w:tabs>
              <w:spacing w:after="0"/>
              <w:jc w:val="right"/>
              <w:rPr>
                <w:rFonts w:cs="Arial"/>
                <w:b/>
                <w:highlight w:val="yellow"/>
              </w:rPr>
            </w:pPr>
            <w:r w:rsidRPr="00996697">
              <w:rPr>
                <w:rFonts w:cs="Arial"/>
                <w:b/>
              </w:rPr>
              <w:t>50.516</w:t>
            </w:r>
          </w:p>
        </w:tc>
      </w:tr>
      <w:tr w:rsidR="00F0025F" w:rsidTr="00B06504">
        <w:trPr>
          <w:trHeight w:val="684"/>
          <w:jc w:val="center"/>
        </w:trPr>
        <w:tc>
          <w:tcPr>
            <w:tcW w:w="0" w:type="auto"/>
            <w:vAlign w:val="center"/>
          </w:tcPr>
          <w:p w:rsidR="00B06504" w:rsidRPr="00112700" w:rsidRDefault="00A445D6" w:rsidP="00B06504">
            <w:pPr>
              <w:tabs>
                <w:tab w:val="left" w:pos="567"/>
                <w:tab w:val="left" w:pos="1134"/>
              </w:tabs>
              <w:spacing w:after="0"/>
              <w:jc w:val="left"/>
              <w:rPr>
                <w:rFonts w:cs="Arial"/>
              </w:rPr>
            </w:pPr>
            <w:r w:rsidRPr="00112700">
              <w:rPr>
                <w:rFonts w:cs="Arial"/>
              </w:rPr>
              <w:t>Children's Services</w:t>
            </w:r>
          </w:p>
        </w:tc>
        <w:tc>
          <w:tcPr>
            <w:tcW w:w="0" w:type="auto"/>
            <w:vAlign w:val="center"/>
          </w:tcPr>
          <w:p w:rsidR="00B06504" w:rsidRPr="00112700" w:rsidRDefault="00A445D6" w:rsidP="00B06504">
            <w:pPr>
              <w:tabs>
                <w:tab w:val="left" w:pos="567"/>
                <w:tab w:val="left" w:pos="1134"/>
              </w:tabs>
              <w:spacing w:after="0"/>
              <w:jc w:val="right"/>
              <w:rPr>
                <w:rFonts w:cs="Arial"/>
              </w:rPr>
            </w:pPr>
            <w:r w:rsidRPr="00112700">
              <w:rPr>
                <w:rFonts w:cs="Arial"/>
              </w:rPr>
              <w:t>7.276</w:t>
            </w:r>
          </w:p>
        </w:tc>
        <w:tc>
          <w:tcPr>
            <w:tcW w:w="0" w:type="auto"/>
            <w:vAlign w:val="center"/>
          </w:tcPr>
          <w:p w:rsidR="00B06504" w:rsidRPr="00112700" w:rsidRDefault="00A445D6" w:rsidP="00B06504">
            <w:pPr>
              <w:tabs>
                <w:tab w:val="left" w:pos="567"/>
                <w:tab w:val="left" w:pos="1134"/>
              </w:tabs>
              <w:spacing w:after="0"/>
              <w:jc w:val="right"/>
              <w:rPr>
                <w:rFonts w:cs="Arial"/>
              </w:rPr>
            </w:pPr>
            <w:r>
              <w:rPr>
                <w:rFonts w:cs="Arial"/>
              </w:rPr>
              <w:t>3.365</w:t>
            </w:r>
          </w:p>
        </w:tc>
        <w:tc>
          <w:tcPr>
            <w:tcW w:w="0" w:type="auto"/>
            <w:vAlign w:val="center"/>
          </w:tcPr>
          <w:p w:rsidR="00B06504" w:rsidRPr="00112700" w:rsidRDefault="00A445D6" w:rsidP="00B06504">
            <w:pPr>
              <w:tabs>
                <w:tab w:val="left" w:pos="567"/>
                <w:tab w:val="left" w:pos="1134"/>
              </w:tabs>
              <w:spacing w:after="0"/>
              <w:jc w:val="right"/>
              <w:rPr>
                <w:rFonts w:cs="Arial"/>
              </w:rPr>
            </w:pPr>
            <w:r>
              <w:rPr>
                <w:rFonts w:cs="Arial"/>
              </w:rPr>
              <w:t>1.854</w:t>
            </w:r>
          </w:p>
        </w:tc>
        <w:tc>
          <w:tcPr>
            <w:tcW w:w="1145" w:type="dxa"/>
            <w:vAlign w:val="center"/>
          </w:tcPr>
          <w:p w:rsidR="00B06504" w:rsidRPr="00112700" w:rsidRDefault="00A445D6" w:rsidP="00B06504">
            <w:pPr>
              <w:tabs>
                <w:tab w:val="left" w:pos="567"/>
                <w:tab w:val="left" w:pos="1134"/>
              </w:tabs>
              <w:spacing w:after="0"/>
              <w:jc w:val="right"/>
              <w:rPr>
                <w:rFonts w:cs="Arial"/>
              </w:rPr>
            </w:pPr>
            <w:r>
              <w:rPr>
                <w:rFonts w:cs="Arial"/>
              </w:rPr>
              <w:t>1.518</w:t>
            </w:r>
          </w:p>
        </w:tc>
        <w:tc>
          <w:tcPr>
            <w:tcW w:w="1145" w:type="dxa"/>
            <w:vAlign w:val="center"/>
          </w:tcPr>
          <w:p w:rsidR="00B06504" w:rsidRPr="00D929BA" w:rsidRDefault="00A445D6" w:rsidP="00A72805">
            <w:pPr>
              <w:tabs>
                <w:tab w:val="left" w:pos="567"/>
                <w:tab w:val="left" w:pos="1134"/>
              </w:tabs>
              <w:spacing w:after="0"/>
              <w:jc w:val="right"/>
              <w:rPr>
                <w:rFonts w:cs="Arial"/>
                <w:b/>
                <w:highlight w:val="yellow"/>
              </w:rPr>
            </w:pPr>
            <w:r w:rsidRPr="00996697">
              <w:rPr>
                <w:rFonts w:cs="Arial"/>
                <w:b/>
              </w:rPr>
              <w:t>14.013</w:t>
            </w:r>
          </w:p>
        </w:tc>
      </w:tr>
      <w:tr w:rsidR="00F0025F" w:rsidTr="00B06504">
        <w:trPr>
          <w:trHeight w:val="684"/>
          <w:jc w:val="center"/>
        </w:trPr>
        <w:tc>
          <w:tcPr>
            <w:tcW w:w="0" w:type="auto"/>
            <w:vAlign w:val="center"/>
          </w:tcPr>
          <w:p w:rsidR="00B06504" w:rsidRPr="00A72805" w:rsidRDefault="00A445D6" w:rsidP="00B06504">
            <w:pPr>
              <w:tabs>
                <w:tab w:val="left" w:pos="567"/>
                <w:tab w:val="left" w:pos="1134"/>
              </w:tabs>
              <w:spacing w:after="0"/>
              <w:jc w:val="left"/>
              <w:rPr>
                <w:rFonts w:cs="Arial"/>
              </w:rPr>
            </w:pPr>
            <w:r w:rsidRPr="00A72805">
              <w:rPr>
                <w:rFonts w:cs="Arial"/>
              </w:rPr>
              <w:t>Waste Services</w:t>
            </w:r>
          </w:p>
        </w:tc>
        <w:tc>
          <w:tcPr>
            <w:tcW w:w="0" w:type="auto"/>
            <w:vAlign w:val="center"/>
          </w:tcPr>
          <w:p w:rsidR="00B06504" w:rsidRPr="00A72805" w:rsidRDefault="00A445D6" w:rsidP="00B06504">
            <w:pPr>
              <w:tabs>
                <w:tab w:val="left" w:pos="567"/>
                <w:tab w:val="left" w:pos="1134"/>
              </w:tabs>
              <w:spacing w:after="0"/>
              <w:jc w:val="right"/>
              <w:rPr>
                <w:rFonts w:cs="Arial"/>
              </w:rPr>
            </w:pPr>
            <w:r>
              <w:rPr>
                <w:rFonts w:cs="Arial"/>
              </w:rPr>
              <w:t>-2.198</w:t>
            </w:r>
          </w:p>
        </w:tc>
        <w:tc>
          <w:tcPr>
            <w:tcW w:w="0" w:type="auto"/>
            <w:vAlign w:val="center"/>
          </w:tcPr>
          <w:p w:rsidR="00B06504" w:rsidRPr="00A72805" w:rsidRDefault="00A445D6" w:rsidP="00B06504">
            <w:pPr>
              <w:tabs>
                <w:tab w:val="left" w:pos="567"/>
                <w:tab w:val="left" w:pos="1134"/>
              </w:tabs>
              <w:spacing w:after="0"/>
              <w:jc w:val="right"/>
              <w:rPr>
                <w:rFonts w:cs="Arial"/>
              </w:rPr>
            </w:pPr>
            <w:r>
              <w:rPr>
                <w:rFonts w:cs="Arial"/>
              </w:rPr>
              <w:t>0.936</w:t>
            </w:r>
          </w:p>
        </w:tc>
        <w:tc>
          <w:tcPr>
            <w:tcW w:w="0" w:type="auto"/>
            <w:vAlign w:val="center"/>
          </w:tcPr>
          <w:p w:rsidR="00B06504" w:rsidRPr="00A72805" w:rsidRDefault="00A445D6" w:rsidP="00B06504">
            <w:pPr>
              <w:tabs>
                <w:tab w:val="left" w:pos="567"/>
                <w:tab w:val="left" w:pos="1134"/>
              </w:tabs>
              <w:spacing w:after="0"/>
              <w:jc w:val="right"/>
              <w:rPr>
                <w:rFonts w:cs="Arial"/>
              </w:rPr>
            </w:pPr>
            <w:r>
              <w:rPr>
                <w:rFonts w:cs="Arial"/>
              </w:rPr>
              <w:t>0.983</w:t>
            </w:r>
          </w:p>
        </w:tc>
        <w:tc>
          <w:tcPr>
            <w:tcW w:w="1145" w:type="dxa"/>
            <w:vAlign w:val="center"/>
          </w:tcPr>
          <w:p w:rsidR="00B06504" w:rsidRPr="00A72805" w:rsidRDefault="00A445D6" w:rsidP="00B06504">
            <w:pPr>
              <w:tabs>
                <w:tab w:val="left" w:pos="567"/>
                <w:tab w:val="left" w:pos="1134"/>
              </w:tabs>
              <w:spacing w:after="0"/>
              <w:jc w:val="right"/>
              <w:rPr>
                <w:rFonts w:cs="Arial"/>
              </w:rPr>
            </w:pPr>
            <w:r>
              <w:rPr>
                <w:rFonts w:cs="Arial"/>
              </w:rPr>
              <w:t>1.048</w:t>
            </w:r>
          </w:p>
        </w:tc>
        <w:tc>
          <w:tcPr>
            <w:tcW w:w="1145" w:type="dxa"/>
            <w:vAlign w:val="center"/>
          </w:tcPr>
          <w:p w:rsidR="00B06504" w:rsidRPr="00D929BA" w:rsidRDefault="00A445D6" w:rsidP="00B06504">
            <w:pPr>
              <w:tabs>
                <w:tab w:val="left" w:pos="567"/>
                <w:tab w:val="left" w:pos="1134"/>
              </w:tabs>
              <w:spacing w:after="0"/>
              <w:jc w:val="right"/>
              <w:rPr>
                <w:rFonts w:cs="Arial"/>
                <w:b/>
                <w:highlight w:val="yellow"/>
              </w:rPr>
            </w:pPr>
            <w:r w:rsidRPr="00996697">
              <w:rPr>
                <w:rFonts w:cs="Arial"/>
                <w:b/>
              </w:rPr>
              <w:t>0.769</w:t>
            </w:r>
          </w:p>
        </w:tc>
      </w:tr>
      <w:tr w:rsidR="00F0025F" w:rsidTr="00B06504">
        <w:trPr>
          <w:trHeight w:val="684"/>
          <w:jc w:val="center"/>
        </w:trPr>
        <w:tc>
          <w:tcPr>
            <w:tcW w:w="0" w:type="auto"/>
            <w:vAlign w:val="center"/>
          </w:tcPr>
          <w:p w:rsidR="00B06504" w:rsidRPr="00D929BA" w:rsidRDefault="00A445D6" w:rsidP="00B06504">
            <w:pPr>
              <w:tabs>
                <w:tab w:val="left" w:pos="567"/>
                <w:tab w:val="left" w:pos="1134"/>
              </w:tabs>
              <w:spacing w:after="0"/>
              <w:jc w:val="left"/>
              <w:rPr>
                <w:rFonts w:cs="Arial"/>
              </w:rPr>
            </w:pPr>
            <w:r w:rsidRPr="00D929BA">
              <w:rPr>
                <w:rFonts w:cs="Arial"/>
              </w:rPr>
              <w:t>Other Services</w:t>
            </w:r>
          </w:p>
        </w:tc>
        <w:tc>
          <w:tcPr>
            <w:tcW w:w="0" w:type="auto"/>
            <w:vAlign w:val="center"/>
          </w:tcPr>
          <w:p w:rsidR="00B06504" w:rsidRPr="00D929BA" w:rsidRDefault="00A445D6" w:rsidP="00B06504">
            <w:pPr>
              <w:tabs>
                <w:tab w:val="left" w:pos="567"/>
                <w:tab w:val="left" w:pos="1134"/>
              </w:tabs>
              <w:spacing w:after="0"/>
              <w:jc w:val="right"/>
              <w:rPr>
                <w:rFonts w:cs="Arial"/>
              </w:rPr>
            </w:pPr>
            <w:r>
              <w:rPr>
                <w:rFonts w:cs="Arial"/>
              </w:rPr>
              <w:t>8.577</w:t>
            </w:r>
          </w:p>
        </w:tc>
        <w:tc>
          <w:tcPr>
            <w:tcW w:w="0" w:type="auto"/>
            <w:vAlign w:val="center"/>
          </w:tcPr>
          <w:p w:rsidR="00B06504" w:rsidRPr="00D929BA" w:rsidRDefault="00A445D6" w:rsidP="00E232A0">
            <w:pPr>
              <w:tabs>
                <w:tab w:val="left" w:pos="567"/>
                <w:tab w:val="left" w:pos="1134"/>
              </w:tabs>
              <w:spacing w:after="0"/>
              <w:jc w:val="right"/>
              <w:rPr>
                <w:rFonts w:cs="Arial"/>
              </w:rPr>
            </w:pPr>
            <w:r w:rsidRPr="00D929BA">
              <w:rPr>
                <w:rFonts w:cs="Arial"/>
              </w:rPr>
              <w:t>0.131</w:t>
            </w:r>
          </w:p>
        </w:tc>
        <w:tc>
          <w:tcPr>
            <w:tcW w:w="0" w:type="auto"/>
            <w:vAlign w:val="center"/>
          </w:tcPr>
          <w:p w:rsidR="00B06504" w:rsidRPr="00D929BA" w:rsidRDefault="00A445D6" w:rsidP="00B06504">
            <w:pPr>
              <w:tabs>
                <w:tab w:val="left" w:pos="567"/>
                <w:tab w:val="left" w:pos="1134"/>
              </w:tabs>
              <w:spacing w:after="0"/>
              <w:jc w:val="right"/>
              <w:rPr>
                <w:rFonts w:cs="Arial"/>
              </w:rPr>
            </w:pPr>
            <w:r w:rsidRPr="00D929BA">
              <w:rPr>
                <w:rFonts w:cs="Arial"/>
              </w:rPr>
              <w:t>0.855</w:t>
            </w:r>
          </w:p>
        </w:tc>
        <w:tc>
          <w:tcPr>
            <w:tcW w:w="1145" w:type="dxa"/>
            <w:vAlign w:val="center"/>
          </w:tcPr>
          <w:p w:rsidR="00B06504" w:rsidRPr="00D929BA" w:rsidRDefault="00A445D6" w:rsidP="00B06504">
            <w:pPr>
              <w:tabs>
                <w:tab w:val="left" w:pos="567"/>
                <w:tab w:val="left" w:pos="1134"/>
              </w:tabs>
              <w:spacing w:after="0"/>
              <w:jc w:val="right"/>
              <w:rPr>
                <w:rFonts w:cs="Arial"/>
              </w:rPr>
            </w:pPr>
            <w:r w:rsidRPr="00D929BA">
              <w:rPr>
                <w:rFonts w:cs="Arial"/>
              </w:rPr>
              <w:t>0.351</w:t>
            </w:r>
          </w:p>
        </w:tc>
        <w:tc>
          <w:tcPr>
            <w:tcW w:w="1145" w:type="dxa"/>
            <w:vAlign w:val="center"/>
          </w:tcPr>
          <w:p w:rsidR="00B06504" w:rsidRPr="00D929BA" w:rsidRDefault="00A445D6" w:rsidP="00E232A0">
            <w:pPr>
              <w:tabs>
                <w:tab w:val="left" w:pos="567"/>
                <w:tab w:val="left" w:pos="1134"/>
              </w:tabs>
              <w:spacing w:after="0"/>
              <w:jc w:val="right"/>
              <w:rPr>
                <w:rFonts w:cs="Arial"/>
                <w:b/>
                <w:highlight w:val="yellow"/>
              </w:rPr>
            </w:pPr>
            <w:r>
              <w:rPr>
                <w:rFonts w:cs="Arial"/>
                <w:b/>
              </w:rPr>
              <w:t>7.022</w:t>
            </w:r>
          </w:p>
        </w:tc>
      </w:tr>
      <w:tr w:rsidR="00F0025F" w:rsidTr="00996697">
        <w:tblPrEx>
          <w:jc w:val="left"/>
        </w:tblPrEx>
        <w:trPr>
          <w:trHeight w:val="684"/>
        </w:trPr>
        <w:tc>
          <w:tcPr>
            <w:tcW w:w="0" w:type="auto"/>
            <w:vAlign w:val="center"/>
          </w:tcPr>
          <w:p w:rsidR="00B06504" w:rsidRPr="00D929BA" w:rsidRDefault="00A445D6" w:rsidP="00B06504">
            <w:pPr>
              <w:tabs>
                <w:tab w:val="left" w:pos="567"/>
                <w:tab w:val="left" w:pos="1134"/>
              </w:tabs>
              <w:spacing w:after="0"/>
              <w:jc w:val="left"/>
              <w:rPr>
                <w:rFonts w:cs="Arial"/>
                <w:b/>
              </w:rPr>
            </w:pPr>
            <w:r w:rsidRPr="00D929BA">
              <w:rPr>
                <w:rFonts w:cs="Arial"/>
                <w:b/>
              </w:rPr>
              <w:t>Revised Demand Requirements</w:t>
            </w:r>
          </w:p>
        </w:tc>
        <w:tc>
          <w:tcPr>
            <w:tcW w:w="0" w:type="auto"/>
            <w:vAlign w:val="center"/>
          </w:tcPr>
          <w:p w:rsidR="00B06504" w:rsidRPr="00D929BA" w:rsidRDefault="00A445D6" w:rsidP="00D929BA">
            <w:pPr>
              <w:tabs>
                <w:tab w:val="left" w:pos="567"/>
                <w:tab w:val="left" w:pos="1134"/>
              </w:tabs>
              <w:spacing w:after="0"/>
              <w:jc w:val="right"/>
              <w:rPr>
                <w:rFonts w:cs="Arial"/>
                <w:b/>
              </w:rPr>
            </w:pPr>
            <w:r w:rsidRPr="00D929BA">
              <w:rPr>
                <w:rFonts w:cs="Arial"/>
                <w:b/>
              </w:rPr>
              <w:t>2</w:t>
            </w:r>
            <w:r>
              <w:rPr>
                <w:rFonts w:cs="Arial"/>
                <w:b/>
              </w:rPr>
              <w:t>8.704</w:t>
            </w:r>
          </w:p>
        </w:tc>
        <w:tc>
          <w:tcPr>
            <w:tcW w:w="0" w:type="auto"/>
            <w:vAlign w:val="center"/>
          </w:tcPr>
          <w:p w:rsidR="00B06504" w:rsidRPr="00D929BA" w:rsidRDefault="00A445D6" w:rsidP="00D929BA">
            <w:pPr>
              <w:tabs>
                <w:tab w:val="left" w:pos="567"/>
                <w:tab w:val="left" w:pos="1134"/>
              </w:tabs>
              <w:spacing w:after="0"/>
              <w:jc w:val="right"/>
              <w:rPr>
                <w:rFonts w:cs="Arial"/>
                <w:b/>
              </w:rPr>
            </w:pPr>
            <w:r w:rsidRPr="00D929BA">
              <w:rPr>
                <w:rFonts w:cs="Arial"/>
                <w:b/>
              </w:rPr>
              <w:t>20.263</w:t>
            </w:r>
          </w:p>
        </w:tc>
        <w:tc>
          <w:tcPr>
            <w:tcW w:w="0" w:type="auto"/>
            <w:vAlign w:val="center"/>
          </w:tcPr>
          <w:p w:rsidR="00B06504" w:rsidRPr="00D929BA" w:rsidRDefault="00A445D6" w:rsidP="00B755BD">
            <w:pPr>
              <w:tabs>
                <w:tab w:val="left" w:pos="567"/>
                <w:tab w:val="left" w:pos="1134"/>
              </w:tabs>
              <w:spacing w:after="0"/>
              <w:jc w:val="right"/>
              <w:rPr>
                <w:rFonts w:cs="Arial"/>
                <w:b/>
              </w:rPr>
            </w:pPr>
            <w:r w:rsidRPr="00D929BA">
              <w:rPr>
                <w:rFonts w:cs="Arial"/>
                <w:b/>
              </w:rPr>
              <w:t>13.165</w:t>
            </w:r>
          </w:p>
        </w:tc>
        <w:tc>
          <w:tcPr>
            <w:tcW w:w="1145" w:type="dxa"/>
            <w:vAlign w:val="center"/>
          </w:tcPr>
          <w:p w:rsidR="00B06504" w:rsidRPr="00D929BA" w:rsidRDefault="00A445D6" w:rsidP="00D929BA">
            <w:pPr>
              <w:tabs>
                <w:tab w:val="left" w:pos="567"/>
                <w:tab w:val="left" w:pos="1134"/>
              </w:tabs>
              <w:spacing w:after="0"/>
              <w:jc w:val="right"/>
              <w:rPr>
                <w:rFonts w:cs="Arial"/>
                <w:b/>
              </w:rPr>
            </w:pPr>
            <w:r w:rsidRPr="00D929BA">
              <w:rPr>
                <w:rFonts w:cs="Arial"/>
                <w:b/>
              </w:rPr>
              <w:t>13.080</w:t>
            </w:r>
          </w:p>
        </w:tc>
        <w:tc>
          <w:tcPr>
            <w:tcW w:w="1145" w:type="dxa"/>
            <w:shd w:val="clear" w:color="auto" w:fill="auto"/>
            <w:vAlign w:val="center"/>
          </w:tcPr>
          <w:p w:rsidR="00B06504" w:rsidRPr="005B5485" w:rsidRDefault="00A445D6" w:rsidP="00793E5C">
            <w:pPr>
              <w:tabs>
                <w:tab w:val="left" w:pos="567"/>
                <w:tab w:val="left" w:pos="1134"/>
              </w:tabs>
              <w:spacing w:after="0"/>
              <w:jc w:val="right"/>
              <w:rPr>
                <w:rFonts w:cs="Arial"/>
                <w:b/>
                <w:highlight w:val="yellow"/>
              </w:rPr>
            </w:pPr>
            <w:r w:rsidRPr="00996697">
              <w:rPr>
                <w:rFonts w:cs="Arial"/>
                <w:b/>
              </w:rPr>
              <w:t>7</w:t>
            </w:r>
            <w:r>
              <w:rPr>
                <w:rFonts w:cs="Arial"/>
                <w:b/>
              </w:rPr>
              <w:t>5.212</w:t>
            </w:r>
          </w:p>
        </w:tc>
      </w:tr>
      <w:tr w:rsidR="00F0025F" w:rsidTr="00B06504">
        <w:trPr>
          <w:trHeight w:val="431"/>
          <w:jc w:val="center"/>
        </w:trPr>
        <w:tc>
          <w:tcPr>
            <w:tcW w:w="0" w:type="auto"/>
            <w:vAlign w:val="center"/>
          </w:tcPr>
          <w:p w:rsidR="00B06504" w:rsidRPr="00D929BA" w:rsidRDefault="009E0214" w:rsidP="00B06504">
            <w:pPr>
              <w:tabs>
                <w:tab w:val="left" w:pos="567"/>
                <w:tab w:val="left" w:pos="1134"/>
              </w:tabs>
              <w:spacing w:after="0"/>
              <w:jc w:val="left"/>
              <w:rPr>
                <w:rFonts w:cs="Arial"/>
              </w:rPr>
            </w:pPr>
          </w:p>
        </w:tc>
        <w:tc>
          <w:tcPr>
            <w:tcW w:w="0" w:type="auto"/>
            <w:vAlign w:val="center"/>
          </w:tcPr>
          <w:p w:rsidR="00B06504" w:rsidRPr="00D929BA" w:rsidRDefault="009E0214" w:rsidP="00B06504">
            <w:pPr>
              <w:tabs>
                <w:tab w:val="left" w:pos="567"/>
                <w:tab w:val="left" w:pos="1134"/>
              </w:tabs>
              <w:spacing w:after="0"/>
              <w:jc w:val="right"/>
              <w:rPr>
                <w:rFonts w:cs="Arial"/>
              </w:rPr>
            </w:pPr>
          </w:p>
        </w:tc>
        <w:tc>
          <w:tcPr>
            <w:tcW w:w="0" w:type="auto"/>
            <w:vAlign w:val="center"/>
          </w:tcPr>
          <w:p w:rsidR="00B06504" w:rsidRPr="00D929BA" w:rsidRDefault="009E0214" w:rsidP="00B06504">
            <w:pPr>
              <w:tabs>
                <w:tab w:val="left" w:pos="567"/>
                <w:tab w:val="left" w:pos="1134"/>
              </w:tabs>
              <w:spacing w:after="0"/>
              <w:jc w:val="right"/>
              <w:rPr>
                <w:rFonts w:cs="Arial"/>
              </w:rPr>
            </w:pPr>
          </w:p>
        </w:tc>
        <w:tc>
          <w:tcPr>
            <w:tcW w:w="0" w:type="auto"/>
            <w:vAlign w:val="center"/>
          </w:tcPr>
          <w:p w:rsidR="00B06504" w:rsidRPr="00D929BA" w:rsidRDefault="009E0214" w:rsidP="00B06504">
            <w:pPr>
              <w:tabs>
                <w:tab w:val="left" w:pos="567"/>
                <w:tab w:val="left" w:pos="1134"/>
              </w:tabs>
              <w:spacing w:after="0"/>
              <w:jc w:val="right"/>
              <w:rPr>
                <w:rFonts w:cs="Arial"/>
              </w:rPr>
            </w:pPr>
          </w:p>
        </w:tc>
        <w:tc>
          <w:tcPr>
            <w:tcW w:w="1145" w:type="dxa"/>
            <w:vAlign w:val="center"/>
          </w:tcPr>
          <w:p w:rsidR="00B06504" w:rsidRPr="00D929BA" w:rsidRDefault="009E0214" w:rsidP="00B06504">
            <w:pPr>
              <w:tabs>
                <w:tab w:val="left" w:pos="567"/>
                <w:tab w:val="left" w:pos="1134"/>
              </w:tabs>
              <w:spacing w:after="0"/>
              <w:jc w:val="right"/>
              <w:rPr>
                <w:rFonts w:cs="Arial"/>
                <w:b/>
              </w:rPr>
            </w:pPr>
          </w:p>
        </w:tc>
        <w:tc>
          <w:tcPr>
            <w:tcW w:w="1145" w:type="dxa"/>
            <w:vAlign w:val="center"/>
          </w:tcPr>
          <w:p w:rsidR="00B06504" w:rsidRPr="00D929BA" w:rsidRDefault="009E0214" w:rsidP="00B06504">
            <w:pPr>
              <w:tabs>
                <w:tab w:val="left" w:pos="567"/>
                <w:tab w:val="left" w:pos="1134"/>
              </w:tabs>
              <w:spacing w:after="0"/>
              <w:jc w:val="right"/>
              <w:rPr>
                <w:rFonts w:cs="Arial"/>
                <w:b/>
              </w:rPr>
            </w:pPr>
          </w:p>
        </w:tc>
      </w:tr>
      <w:tr w:rsidR="00F0025F" w:rsidTr="00B06504">
        <w:tblPrEx>
          <w:jc w:val="left"/>
        </w:tblPrEx>
        <w:trPr>
          <w:trHeight w:val="684"/>
        </w:trPr>
        <w:tc>
          <w:tcPr>
            <w:tcW w:w="0" w:type="auto"/>
            <w:vAlign w:val="center"/>
          </w:tcPr>
          <w:p w:rsidR="004E7181" w:rsidRPr="00D929BA" w:rsidRDefault="00A445D6" w:rsidP="004E7181">
            <w:pPr>
              <w:tabs>
                <w:tab w:val="left" w:pos="567"/>
                <w:tab w:val="left" w:pos="1134"/>
              </w:tabs>
              <w:spacing w:after="0"/>
              <w:jc w:val="left"/>
              <w:rPr>
                <w:rFonts w:cs="Arial"/>
              </w:rPr>
            </w:pPr>
            <w:r w:rsidRPr="00D929BA">
              <w:rPr>
                <w:rFonts w:cs="Arial"/>
                <w:b/>
              </w:rPr>
              <w:t>Demand – previous MTFS</w:t>
            </w:r>
          </w:p>
        </w:tc>
        <w:tc>
          <w:tcPr>
            <w:tcW w:w="0" w:type="auto"/>
            <w:vAlign w:val="center"/>
          </w:tcPr>
          <w:p w:rsidR="004E7181" w:rsidRPr="00D929BA" w:rsidRDefault="00A445D6" w:rsidP="004E7181">
            <w:pPr>
              <w:tabs>
                <w:tab w:val="left" w:pos="567"/>
                <w:tab w:val="left" w:pos="1134"/>
              </w:tabs>
              <w:spacing w:after="0"/>
              <w:jc w:val="right"/>
              <w:rPr>
                <w:rFonts w:cs="Arial"/>
                <w:b/>
              </w:rPr>
            </w:pPr>
            <w:r w:rsidRPr="00D929BA">
              <w:rPr>
                <w:rFonts w:cs="Arial"/>
                <w:b/>
              </w:rPr>
              <w:t>28.375</w:t>
            </w:r>
          </w:p>
        </w:tc>
        <w:tc>
          <w:tcPr>
            <w:tcW w:w="0" w:type="auto"/>
            <w:vAlign w:val="center"/>
          </w:tcPr>
          <w:p w:rsidR="004E7181" w:rsidRPr="00D929BA" w:rsidRDefault="00A445D6" w:rsidP="004E7181">
            <w:pPr>
              <w:tabs>
                <w:tab w:val="left" w:pos="567"/>
                <w:tab w:val="left" w:pos="1134"/>
              </w:tabs>
              <w:spacing w:after="0"/>
              <w:jc w:val="right"/>
              <w:rPr>
                <w:rFonts w:cs="Arial"/>
                <w:b/>
              </w:rPr>
            </w:pPr>
            <w:r>
              <w:rPr>
                <w:rFonts w:cs="Arial"/>
                <w:b/>
              </w:rPr>
              <w:t>20.953</w:t>
            </w:r>
          </w:p>
        </w:tc>
        <w:tc>
          <w:tcPr>
            <w:tcW w:w="0" w:type="auto"/>
            <w:vAlign w:val="center"/>
          </w:tcPr>
          <w:p w:rsidR="004E7181" w:rsidRPr="00D929BA" w:rsidRDefault="00A445D6" w:rsidP="004E7181">
            <w:pPr>
              <w:tabs>
                <w:tab w:val="left" w:pos="567"/>
                <w:tab w:val="left" w:pos="1134"/>
              </w:tabs>
              <w:spacing w:after="0"/>
              <w:jc w:val="right"/>
              <w:rPr>
                <w:rFonts w:cs="Arial"/>
                <w:b/>
              </w:rPr>
            </w:pPr>
            <w:r>
              <w:rPr>
                <w:rFonts w:cs="Arial"/>
                <w:b/>
              </w:rPr>
              <w:t>13.343</w:t>
            </w:r>
          </w:p>
        </w:tc>
        <w:tc>
          <w:tcPr>
            <w:tcW w:w="1145" w:type="dxa"/>
            <w:vAlign w:val="center"/>
          </w:tcPr>
          <w:p w:rsidR="004E7181" w:rsidRPr="00D929BA" w:rsidRDefault="00A445D6" w:rsidP="004E7181">
            <w:pPr>
              <w:tabs>
                <w:tab w:val="left" w:pos="567"/>
                <w:tab w:val="left" w:pos="1134"/>
              </w:tabs>
              <w:spacing w:after="0"/>
              <w:jc w:val="right"/>
              <w:rPr>
                <w:rFonts w:cs="Arial"/>
                <w:b/>
              </w:rPr>
            </w:pPr>
            <w:r>
              <w:rPr>
                <w:rFonts w:cs="Arial"/>
                <w:b/>
              </w:rPr>
              <w:t>13.683</w:t>
            </w:r>
          </w:p>
        </w:tc>
        <w:tc>
          <w:tcPr>
            <w:tcW w:w="1145" w:type="dxa"/>
            <w:vAlign w:val="center"/>
          </w:tcPr>
          <w:p w:rsidR="004E7181" w:rsidRPr="00D929BA" w:rsidRDefault="00A445D6" w:rsidP="004E7181">
            <w:pPr>
              <w:tabs>
                <w:tab w:val="left" w:pos="567"/>
                <w:tab w:val="left" w:pos="1134"/>
              </w:tabs>
              <w:spacing w:after="0"/>
              <w:jc w:val="right"/>
              <w:rPr>
                <w:rFonts w:cs="Arial"/>
                <w:b/>
              </w:rPr>
            </w:pPr>
            <w:r>
              <w:rPr>
                <w:rFonts w:cs="Arial"/>
                <w:b/>
              </w:rPr>
              <w:t>76.354</w:t>
            </w:r>
          </w:p>
        </w:tc>
      </w:tr>
      <w:tr w:rsidR="00F0025F" w:rsidTr="00B06504">
        <w:trPr>
          <w:trHeight w:val="431"/>
          <w:jc w:val="center"/>
        </w:trPr>
        <w:tc>
          <w:tcPr>
            <w:tcW w:w="0" w:type="auto"/>
            <w:vAlign w:val="center"/>
          </w:tcPr>
          <w:p w:rsidR="00B06504" w:rsidRPr="005B5485" w:rsidRDefault="009E0214" w:rsidP="00B06504">
            <w:pPr>
              <w:tabs>
                <w:tab w:val="left" w:pos="567"/>
                <w:tab w:val="left" w:pos="1134"/>
              </w:tabs>
              <w:spacing w:after="0"/>
              <w:jc w:val="left"/>
              <w:rPr>
                <w:rFonts w:cs="Arial"/>
                <w:highlight w:val="yellow"/>
              </w:rPr>
            </w:pPr>
          </w:p>
        </w:tc>
        <w:tc>
          <w:tcPr>
            <w:tcW w:w="0" w:type="auto"/>
            <w:vAlign w:val="center"/>
          </w:tcPr>
          <w:p w:rsidR="00B06504" w:rsidRPr="005B5485" w:rsidRDefault="009E0214" w:rsidP="00B06504">
            <w:pPr>
              <w:tabs>
                <w:tab w:val="left" w:pos="567"/>
                <w:tab w:val="left" w:pos="1134"/>
              </w:tabs>
              <w:spacing w:after="0"/>
              <w:jc w:val="right"/>
              <w:rPr>
                <w:rFonts w:cs="Arial"/>
                <w:highlight w:val="yellow"/>
              </w:rPr>
            </w:pPr>
          </w:p>
        </w:tc>
        <w:tc>
          <w:tcPr>
            <w:tcW w:w="0" w:type="auto"/>
            <w:vAlign w:val="center"/>
          </w:tcPr>
          <w:p w:rsidR="00B06504" w:rsidRPr="005B5485" w:rsidRDefault="009E0214" w:rsidP="00B06504">
            <w:pPr>
              <w:tabs>
                <w:tab w:val="left" w:pos="567"/>
                <w:tab w:val="left" w:pos="1134"/>
              </w:tabs>
              <w:spacing w:after="0"/>
              <w:jc w:val="right"/>
              <w:rPr>
                <w:rFonts w:cs="Arial"/>
                <w:highlight w:val="yellow"/>
              </w:rPr>
            </w:pPr>
          </w:p>
        </w:tc>
        <w:tc>
          <w:tcPr>
            <w:tcW w:w="0" w:type="auto"/>
            <w:vAlign w:val="center"/>
          </w:tcPr>
          <w:p w:rsidR="00B06504" w:rsidRPr="005B5485" w:rsidRDefault="009E0214" w:rsidP="00B06504">
            <w:pPr>
              <w:tabs>
                <w:tab w:val="left" w:pos="567"/>
                <w:tab w:val="left" w:pos="1134"/>
              </w:tabs>
              <w:spacing w:after="0"/>
              <w:jc w:val="right"/>
              <w:rPr>
                <w:rFonts w:cs="Arial"/>
                <w:highlight w:val="yellow"/>
              </w:rPr>
            </w:pPr>
          </w:p>
        </w:tc>
        <w:tc>
          <w:tcPr>
            <w:tcW w:w="1145" w:type="dxa"/>
            <w:vAlign w:val="center"/>
          </w:tcPr>
          <w:p w:rsidR="00B06504" w:rsidRPr="005B5485" w:rsidRDefault="009E0214" w:rsidP="00B06504">
            <w:pPr>
              <w:tabs>
                <w:tab w:val="left" w:pos="567"/>
                <w:tab w:val="left" w:pos="1134"/>
              </w:tabs>
              <w:spacing w:after="0"/>
              <w:jc w:val="right"/>
              <w:rPr>
                <w:rFonts w:cs="Arial"/>
                <w:b/>
                <w:highlight w:val="yellow"/>
              </w:rPr>
            </w:pPr>
          </w:p>
        </w:tc>
        <w:tc>
          <w:tcPr>
            <w:tcW w:w="1145" w:type="dxa"/>
            <w:vAlign w:val="center"/>
          </w:tcPr>
          <w:p w:rsidR="00B06504" w:rsidRPr="005B5485" w:rsidRDefault="009E0214" w:rsidP="00B06504">
            <w:pPr>
              <w:tabs>
                <w:tab w:val="left" w:pos="567"/>
                <w:tab w:val="left" w:pos="1134"/>
              </w:tabs>
              <w:spacing w:after="0"/>
              <w:jc w:val="right"/>
              <w:rPr>
                <w:rFonts w:cs="Arial"/>
                <w:b/>
                <w:highlight w:val="yellow"/>
              </w:rPr>
            </w:pPr>
          </w:p>
        </w:tc>
      </w:tr>
      <w:tr w:rsidR="00F0025F" w:rsidTr="00B06504">
        <w:trPr>
          <w:trHeight w:val="684"/>
          <w:jc w:val="center"/>
        </w:trPr>
        <w:tc>
          <w:tcPr>
            <w:tcW w:w="0" w:type="auto"/>
            <w:vAlign w:val="center"/>
          </w:tcPr>
          <w:p w:rsidR="00B06504" w:rsidRPr="00996697" w:rsidRDefault="00A445D6" w:rsidP="00B06504">
            <w:pPr>
              <w:tabs>
                <w:tab w:val="left" w:pos="567"/>
                <w:tab w:val="left" w:pos="1134"/>
              </w:tabs>
              <w:spacing w:after="0"/>
              <w:jc w:val="left"/>
              <w:rPr>
                <w:rFonts w:cs="Arial"/>
                <w:b/>
              </w:rPr>
            </w:pPr>
            <w:r w:rsidRPr="00996697">
              <w:rPr>
                <w:rFonts w:cs="Arial"/>
                <w:b/>
              </w:rPr>
              <w:t>Impact on Financial Gap</w:t>
            </w:r>
          </w:p>
        </w:tc>
        <w:tc>
          <w:tcPr>
            <w:tcW w:w="0" w:type="auto"/>
            <w:vAlign w:val="center"/>
          </w:tcPr>
          <w:p w:rsidR="00B06504" w:rsidRPr="004551E5" w:rsidRDefault="00A445D6" w:rsidP="00B06504">
            <w:pPr>
              <w:tabs>
                <w:tab w:val="left" w:pos="567"/>
                <w:tab w:val="left" w:pos="1134"/>
              </w:tabs>
              <w:spacing w:after="0"/>
              <w:jc w:val="right"/>
              <w:rPr>
                <w:rFonts w:cs="Arial"/>
                <w:b/>
              </w:rPr>
            </w:pPr>
            <w:r w:rsidRPr="004551E5">
              <w:rPr>
                <w:rFonts w:cs="Arial"/>
                <w:b/>
              </w:rPr>
              <w:t>0.329</w:t>
            </w:r>
          </w:p>
        </w:tc>
        <w:tc>
          <w:tcPr>
            <w:tcW w:w="0" w:type="auto"/>
            <w:vAlign w:val="center"/>
          </w:tcPr>
          <w:p w:rsidR="00B06504" w:rsidRPr="004551E5" w:rsidRDefault="00A445D6" w:rsidP="004551E5">
            <w:pPr>
              <w:tabs>
                <w:tab w:val="left" w:pos="567"/>
                <w:tab w:val="left" w:pos="1134"/>
              </w:tabs>
              <w:spacing w:after="0"/>
              <w:jc w:val="right"/>
              <w:rPr>
                <w:rFonts w:cs="Arial"/>
                <w:b/>
              </w:rPr>
            </w:pPr>
            <w:r w:rsidRPr="004551E5">
              <w:rPr>
                <w:rFonts w:cs="Arial"/>
                <w:b/>
              </w:rPr>
              <w:t>-0.684</w:t>
            </w:r>
          </w:p>
        </w:tc>
        <w:tc>
          <w:tcPr>
            <w:tcW w:w="0" w:type="auto"/>
            <w:vAlign w:val="center"/>
          </w:tcPr>
          <w:p w:rsidR="00B06504" w:rsidRPr="004551E5" w:rsidRDefault="00A445D6" w:rsidP="00B06504">
            <w:pPr>
              <w:tabs>
                <w:tab w:val="left" w:pos="567"/>
                <w:tab w:val="left" w:pos="1134"/>
              </w:tabs>
              <w:spacing w:after="0"/>
              <w:jc w:val="right"/>
              <w:rPr>
                <w:rFonts w:cs="Arial"/>
                <w:b/>
              </w:rPr>
            </w:pPr>
            <w:r w:rsidRPr="004551E5">
              <w:rPr>
                <w:rFonts w:cs="Arial"/>
                <w:b/>
              </w:rPr>
              <w:t>-0.178</w:t>
            </w:r>
          </w:p>
        </w:tc>
        <w:tc>
          <w:tcPr>
            <w:tcW w:w="1145" w:type="dxa"/>
            <w:vAlign w:val="center"/>
          </w:tcPr>
          <w:p w:rsidR="00B06504" w:rsidRPr="004551E5" w:rsidRDefault="00A445D6" w:rsidP="00B06504">
            <w:pPr>
              <w:tabs>
                <w:tab w:val="left" w:pos="567"/>
                <w:tab w:val="left" w:pos="1134"/>
              </w:tabs>
              <w:spacing w:after="0"/>
              <w:jc w:val="right"/>
              <w:rPr>
                <w:rFonts w:cs="Arial"/>
                <w:b/>
              </w:rPr>
            </w:pPr>
            <w:r w:rsidRPr="004551E5">
              <w:rPr>
                <w:rFonts w:cs="Arial"/>
                <w:b/>
              </w:rPr>
              <w:t>-0.603</w:t>
            </w:r>
          </w:p>
        </w:tc>
        <w:tc>
          <w:tcPr>
            <w:tcW w:w="1145" w:type="dxa"/>
            <w:vAlign w:val="center"/>
          </w:tcPr>
          <w:p w:rsidR="00B06504" w:rsidRPr="004551E5" w:rsidRDefault="00A445D6" w:rsidP="004551E5">
            <w:pPr>
              <w:tabs>
                <w:tab w:val="left" w:pos="567"/>
                <w:tab w:val="left" w:pos="1134"/>
              </w:tabs>
              <w:spacing w:after="0"/>
              <w:jc w:val="right"/>
              <w:rPr>
                <w:rFonts w:cs="Arial"/>
                <w:b/>
              </w:rPr>
            </w:pPr>
            <w:r w:rsidRPr="004551E5">
              <w:rPr>
                <w:rFonts w:cs="Arial"/>
                <w:b/>
              </w:rPr>
              <w:t>-1.136</w:t>
            </w:r>
          </w:p>
        </w:tc>
      </w:tr>
    </w:tbl>
    <w:p w:rsidR="00B06504" w:rsidRPr="005B5485" w:rsidRDefault="009E0214" w:rsidP="00B06504">
      <w:pPr>
        <w:tabs>
          <w:tab w:val="left" w:pos="567"/>
          <w:tab w:val="left" w:pos="1134"/>
        </w:tabs>
        <w:spacing w:after="0"/>
        <w:rPr>
          <w:rFonts w:cs="Arial"/>
          <w:highlight w:val="yellow"/>
        </w:rPr>
      </w:pPr>
    </w:p>
    <w:p w:rsidR="00B06504" w:rsidRPr="005B5485" w:rsidRDefault="009E0214" w:rsidP="00B06504">
      <w:pPr>
        <w:tabs>
          <w:tab w:val="left" w:pos="567"/>
          <w:tab w:val="left" w:pos="1134"/>
        </w:tabs>
        <w:spacing w:after="0"/>
        <w:rPr>
          <w:rFonts w:cs="Arial"/>
          <w:highlight w:val="yellow"/>
        </w:rPr>
      </w:pPr>
    </w:p>
    <w:p w:rsidR="00726421" w:rsidRPr="00191CA2" w:rsidRDefault="00A445D6" w:rsidP="00191CA2">
      <w:pPr>
        <w:spacing w:after="0"/>
        <w:rPr>
          <w:rFonts w:cs="Arial"/>
        </w:rPr>
      </w:pPr>
      <w:r w:rsidRPr="00191CA2">
        <w:rPr>
          <w:rFonts w:cs="Arial"/>
        </w:rPr>
        <w:t>Adult social care represents a large proportion of the demand</w:t>
      </w:r>
      <w:r w:rsidRPr="00191CA2">
        <w:rPr>
          <w:rFonts w:cs="Arial"/>
          <w:b/>
        </w:rPr>
        <w:t xml:space="preserve"> </w:t>
      </w:r>
      <w:r w:rsidRPr="00191CA2">
        <w:rPr>
          <w:rFonts w:cs="Arial"/>
        </w:rPr>
        <w:t>pressures.</w:t>
      </w:r>
      <w:r w:rsidRPr="00191CA2">
        <w:rPr>
          <w:rFonts w:cs="Arial"/>
          <w:b/>
        </w:rPr>
        <w:t xml:space="preserve">  </w:t>
      </w:r>
      <w:r w:rsidRPr="00191CA2">
        <w:rPr>
          <w:rFonts w:cs="Arial"/>
        </w:rPr>
        <w:t xml:space="preserve">Adult Social Care has long seen annual increases in the demand for services and the MTFS attempts to predict growth in future years largely based on reviewing current and past activity trends and also taking into account future population changes. From a social care perspective demand covers both increasing numbers of people eligible for support and the increasing complexity of those cases.  All demand assumptions contained within this revised MTFS regarding adult social care have been reviewed based on the most up-to-date trend analysis. </w:t>
      </w:r>
    </w:p>
    <w:p w:rsidR="00996697" w:rsidRPr="00996697" w:rsidRDefault="009E0214" w:rsidP="00B06504">
      <w:pPr>
        <w:spacing w:after="0"/>
        <w:ind w:left="502"/>
        <w:rPr>
          <w:rFonts w:cs="Arial"/>
        </w:rPr>
      </w:pPr>
    </w:p>
    <w:p w:rsidR="006D371F" w:rsidRDefault="00A445D6" w:rsidP="00191CA2">
      <w:pPr>
        <w:spacing w:after="0"/>
        <w:rPr>
          <w:rFonts w:cs="Arial"/>
        </w:rPr>
      </w:pPr>
      <w:r>
        <w:rPr>
          <w:rFonts w:cs="Arial"/>
        </w:rPr>
        <w:t>Children's social care</w:t>
      </w:r>
      <w:r w:rsidRPr="00996697">
        <w:rPr>
          <w:rFonts w:cs="Arial"/>
        </w:rPr>
        <w:t xml:space="preserve"> continues to experience demand pressures across the service, particularly in relation to placement demand due to the number of looked after children in Lancashire. The funding requirement for children</w:t>
      </w:r>
      <w:r>
        <w:rPr>
          <w:rFonts w:cs="Arial"/>
        </w:rPr>
        <w:t>'</w:t>
      </w:r>
      <w:r w:rsidRPr="00996697">
        <w:rPr>
          <w:rFonts w:cs="Arial"/>
        </w:rPr>
        <w:t xml:space="preserve">s social care has increased by £0.735m over the 4 year period to reflect increased demand across family support for children with disabilities.  </w:t>
      </w:r>
    </w:p>
    <w:p w:rsidR="007446EE" w:rsidRDefault="009E0214" w:rsidP="00191CA2">
      <w:pPr>
        <w:rPr>
          <w:rFonts w:cs="Arial"/>
        </w:rPr>
      </w:pPr>
    </w:p>
    <w:p w:rsidR="00191CA2" w:rsidRPr="00191CA2" w:rsidRDefault="00A445D6" w:rsidP="00191CA2">
      <w:pPr>
        <w:rPr>
          <w:rFonts w:cs="Arial"/>
        </w:rPr>
      </w:pPr>
      <w:r>
        <w:rPr>
          <w:rFonts w:cs="Arial"/>
        </w:rPr>
        <w:t xml:space="preserve">The budget for waste services has seen a significant </w:t>
      </w:r>
      <w:r w:rsidRPr="00191CA2">
        <w:rPr>
          <w:rFonts w:cs="Arial"/>
        </w:rPr>
        <w:t xml:space="preserve">reduction in </w:t>
      </w:r>
      <w:r>
        <w:rPr>
          <w:rFonts w:cs="Arial"/>
        </w:rPr>
        <w:t xml:space="preserve">previously forecast </w:t>
      </w:r>
      <w:r w:rsidRPr="00191CA2">
        <w:rPr>
          <w:rFonts w:cs="Arial"/>
        </w:rPr>
        <w:t>demand over the next 4 yea</w:t>
      </w:r>
      <w:r>
        <w:rPr>
          <w:rFonts w:cs="Arial"/>
        </w:rPr>
        <w:t>rs compared to quarter 2 relating</w:t>
      </w:r>
      <w:r w:rsidRPr="00191CA2">
        <w:rPr>
          <w:rFonts w:cs="Arial"/>
        </w:rPr>
        <w:t xml:space="preserve"> to waste </w:t>
      </w:r>
      <w:r>
        <w:rPr>
          <w:rFonts w:cs="Arial"/>
        </w:rPr>
        <w:t>disposal.  The reduction is due to w</w:t>
      </w:r>
      <w:r w:rsidRPr="00191CA2">
        <w:rPr>
          <w:rFonts w:cs="Arial"/>
        </w:rPr>
        <w:t xml:space="preserve">aste arising increases </w:t>
      </w:r>
      <w:r>
        <w:rPr>
          <w:rFonts w:cs="Arial"/>
        </w:rPr>
        <w:t xml:space="preserve">being </w:t>
      </w:r>
      <w:r w:rsidRPr="00191CA2">
        <w:rPr>
          <w:rFonts w:cs="Arial"/>
        </w:rPr>
        <w:t xml:space="preserve">projected to be significantly lower </w:t>
      </w:r>
      <w:r>
        <w:rPr>
          <w:rFonts w:cs="Arial"/>
        </w:rPr>
        <w:t xml:space="preserve">than previously forecast supported by </w:t>
      </w:r>
      <w:r w:rsidRPr="00191CA2">
        <w:rPr>
          <w:rFonts w:cs="Arial"/>
        </w:rPr>
        <w:t>investment in waste minimisation</w:t>
      </w:r>
      <w:r>
        <w:rPr>
          <w:rFonts w:cs="Arial"/>
        </w:rPr>
        <w:t xml:space="preserve">. In addition, </w:t>
      </w:r>
      <w:r w:rsidRPr="00191CA2">
        <w:rPr>
          <w:rFonts w:cs="Arial"/>
        </w:rPr>
        <w:t xml:space="preserve">evaporation of waste at Thornton waste recovery park is currently running at 45% as opposed to 25% which was originally assumed. Both of these </w:t>
      </w:r>
      <w:r>
        <w:rPr>
          <w:rFonts w:cs="Arial"/>
        </w:rPr>
        <w:t>developments result in</w:t>
      </w:r>
      <w:r w:rsidRPr="00191CA2">
        <w:rPr>
          <w:rFonts w:cs="Arial"/>
        </w:rPr>
        <w:t xml:space="preserve"> significant reductions on the costs of waste disposal</w:t>
      </w:r>
      <w:r>
        <w:rPr>
          <w:rFonts w:cs="Arial"/>
        </w:rPr>
        <w:t xml:space="preserve"> that have been reflected in the MTFS at quarter 3. </w:t>
      </w:r>
    </w:p>
    <w:p w:rsidR="00996697" w:rsidRPr="005B5485" w:rsidRDefault="009E0214" w:rsidP="00B06504">
      <w:pPr>
        <w:spacing w:after="0"/>
        <w:ind w:left="502"/>
        <w:rPr>
          <w:rFonts w:cs="Arial"/>
          <w:highlight w:val="yellow"/>
        </w:rPr>
      </w:pPr>
    </w:p>
    <w:p w:rsidR="00835F3B" w:rsidRDefault="00A445D6" w:rsidP="00191CA2">
      <w:pPr>
        <w:spacing w:after="0"/>
        <w:rPr>
          <w:rFonts w:cs="Arial"/>
        </w:rPr>
      </w:pPr>
      <w:r w:rsidRPr="00191CA2">
        <w:rPr>
          <w:rFonts w:cs="Arial"/>
        </w:rPr>
        <w:t xml:space="preserve">In addition there are smaller demand increases across other areas such as legal fees, street lighting energy, BTLS and transport budgets. This largely reflects </w:t>
      </w:r>
      <w:r>
        <w:rPr>
          <w:rFonts w:cs="Arial"/>
        </w:rPr>
        <w:t xml:space="preserve">the continuation of </w:t>
      </w:r>
      <w:r w:rsidRPr="00191CA2">
        <w:rPr>
          <w:rFonts w:cs="Arial"/>
        </w:rPr>
        <w:t xml:space="preserve">pressures that can be seen in the 2018/19 monitoring position. </w:t>
      </w:r>
    </w:p>
    <w:p w:rsidR="00793E5C" w:rsidRDefault="009E0214" w:rsidP="00191CA2">
      <w:pPr>
        <w:spacing w:after="0"/>
        <w:rPr>
          <w:rFonts w:cs="Arial"/>
        </w:rPr>
      </w:pPr>
    </w:p>
    <w:p w:rsidR="00793E5C" w:rsidRDefault="00A445D6" w:rsidP="00793E5C">
      <w:pPr>
        <w:spacing w:after="0"/>
        <w:rPr>
          <w:rFonts w:cs="Arial"/>
        </w:rPr>
      </w:pPr>
      <w:r>
        <w:rPr>
          <w:rFonts w:cs="Arial"/>
        </w:rPr>
        <w:t xml:space="preserve">Most significant of these is the pressure on transport budgets. Included at quarter 3 is c£2m primarily reflecting additional demand </w:t>
      </w:r>
      <w:r w:rsidRPr="00191CA2">
        <w:rPr>
          <w:rFonts w:cs="Arial"/>
        </w:rPr>
        <w:t xml:space="preserve">relating to transport costs for children with special educational needs which is a trend that is being seen nationwide. </w:t>
      </w:r>
      <w:r>
        <w:rPr>
          <w:rFonts w:cs="Arial"/>
        </w:rPr>
        <w:t xml:space="preserve">A further </w:t>
      </w:r>
      <w:r w:rsidRPr="00191CA2">
        <w:rPr>
          <w:rFonts w:cs="Arial"/>
        </w:rPr>
        <w:t>£0.9m relates to transport costs taking children to independent non-maintained schools that has previously been funded by education budgets but upon review should be funded by transport budgets.</w:t>
      </w:r>
      <w:r>
        <w:rPr>
          <w:rFonts w:cs="Arial"/>
        </w:rPr>
        <w:t xml:space="preserve"> These pressures have been offset by £1.9m of additional grant funding that the county council will receive recurrently that is shown within section 3.4. </w:t>
      </w:r>
    </w:p>
    <w:p w:rsidR="00FF0EF9" w:rsidRPr="00C869D6" w:rsidRDefault="009E0214" w:rsidP="00C869D6">
      <w:pPr>
        <w:spacing w:after="0"/>
        <w:rPr>
          <w:rFonts w:cs="Arial"/>
        </w:rPr>
      </w:pPr>
    </w:p>
    <w:p w:rsidR="00B06504" w:rsidRPr="00191CA2" w:rsidRDefault="00A445D6" w:rsidP="00B06504">
      <w:pPr>
        <w:spacing w:after="0"/>
        <w:rPr>
          <w:rFonts w:cs="Arial"/>
          <w:b/>
        </w:rPr>
      </w:pPr>
      <w:r w:rsidRPr="00191CA2">
        <w:rPr>
          <w:rFonts w:cs="Arial"/>
          <w:b/>
        </w:rPr>
        <w:t xml:space="preserve">3.4 Other </w:t>
      </w:r>
    </w:p>
    <w:p w:rsidR="00B06504" w:rsidRPr="00191CA2" w:rsidRDefault="009E0214" w:rsidP="00B06504">
      <w:pPr>
        <w:spacing w:after="0"/>
        <w:rPr>
          <w:rFonts w:cs="Arial"/>
          <w:b/>
        </w:rPr>
      </w:pPr>
    </w:p>
    <w:p w:rsidR="00191CA2" w:rsidRDefault="00A445D6" w:rsidP="00B06504">
      <w:pPr>
        <w:spacing w:after="0"/>
        <w:rPr>
          <w:rFonts w:cs="Arial"/>
        </w:rPr>
      </w:pPr>
      <w:r>
        <w:rPr>
          <w:rFonts w:cs="Arial"/>
        </w:rPr>
        <w:t xml:space="preserve">An additional grant relating to school improvement of £1.9m has been included as it is assumed the county council will receive recurrently (although this is subject to annual confirmation, as is the case with many grants). This will be used to offset pressures on transport as outlined in section 3.3. </w:t>
      </w:r>
    </w:p>
    <w:p w:rsidR="00793E5C" w:rsidRDefault="009E0214" w:rsidP="00B06504">
      <w:pPr>
        <w:spacing w:after="0"/>
        <w:rPr>
          <w:rFonts w:cs="Arial"/>
        </w:rPr>
      </w:pPr>
    </w:p>
    <w:p w:rsidR="00793E5C" w:rsidRDefault="00A445D6" w:rsidP="00B06504">
      <w:pPr>
        <w:spacing w:after="0"/>
        <w:rPr>
          <w:rFonts w:cs="Arial"/>
        </w:rPr>
      </w:pPr>
      <w:r>
        <w:rPr>
          <w:rFonts w:cs="Arial"/>
        </w:rPr>
        <w:t xml:space="preserve">Additional expenditure of £1.958m has also been added into the MFTS at quarter 3 to reflect additional expenditure that will be incurred following the receipt of additional income from the successful application to be a business rates pilot. </w:t>
      </w:r>
    </w:p>
    <w:p w:rsidR="002F493A" w:rsidRPr="00793E5C" w:rsidRDefault="00A445D6" w:rsidP="00793E5C">
      <w:pPr>
        <w:spacing w:after="0"/>
        <w:rPr>
          <w:rFonts w:cs="Arial"/>
          <w:highlight w:val="yellow"/>
        </w:rPr>
      </w:pPr>
      <w:r w:rsidRPr="005B5485">
        <w:rPr>
          <w:rFonts w:cs="Arial"/>
          <w:highlight w:val="yellow"/>
        </w:rPr>
        <w:t xml:space="preserve"> </w:t>
      </w:r>
    </w:p>
    <w:p w:rsidR="002F493A" w:rsidRDefault="00A445D6" w:rsidP="008770AB">
      <w:pPr>
        <w:tabs>
          <w:tab w:val="left" w:pos="567"/>
          <w:tab w:val="left" w:pos="1134"/>
        </w:tabs>
        <w:spacing w:after="0"/>
        <w:rPr>
          <w:rFonts w:cs="Arial"/>
          <w:b/>
        </w:rPr>
      </w:pPr>
      <w:r>
        <w:rPr>
          <w:rFonts w:cs="Arial"/>
          <w:b/>
        </w:rPr>
        <w:t>3.5 Savings Adjustments</w:t>
      </w:r>
    </w:p>
    <w:p w:rsidR="002F493A" w:rsidRDefault="009E0214" w:rsidP="008770AB">
      <w:pPr>
        <w:tabs>
          <w:tab w:val="left" w:pos="567"/>
          <w:tab w:val="left" w:pos="1134"/>
        </w:tabs>
        <w:spacing w:after="0"/>
        <w:rPr>
          <w:rFonts w:cs="Arial"/>
          <w:b/>
        </w:rPr>
      </w:pPr>
    </w:p>
    <w:p w:rsidR="004551E5" w:rsidRDefault="00A445D6" w:rsidP="008770AB">
      <w:pPr>
        <w:tabs>
          <w:tab w:val="left" w:pos="567"/>
          <w:tab w:val="left" w:pos="1134"/>
        </w:tabs>
        <w:spacing w:after="0"/>
        <w:rPr>
          <w:rFonts w:cs="Arial"/>
        </w:rPr>
      </w:pPr>
      <w:r w:rsidRPr="002F493A">
        <w:rPr>
          <w:rFonts w:cs="Arial"/>
        </w:rPr>
        <w:t>Following agreement of service challenge savings at Cabinet in December a review of implementation plans has been taking place.</w:t>
      </w:r>
      <w:r>
        <w:rPr>
          <w:rFonts w:cs="Arial"/>
        </w:rPr>
        <w:t xml:space="preserve"> The saving that relates to the ceasing of the Lancashire Breaktime Service (SC119) has been reprofiled to reflect the consultation period that is required. </w:t>
      </w:r>
    </w:p>
    <w:p w:rsidR="004551E5" w:rsidRDefault="009E0214" w:rsidP="008770AB">
      <w:pPr>
        <w:tabs>
          <w:tab w:val="left" w:pos="567"/>
          <w:tab w:val="left" w:pos="1134"/>
        </w:tabs>
        <w:spacing w:after="0"/>
        <w:rPr>
          <w:rFonts w:cs="Arial"/>
        </w:rPr>
      </w:pPr>
    </w:p>
    <w:p w:rsidR="00B05283" w:rsidRDefault="00A445D6" w:rsidP="008770AB">
      <w:pPr>
        <w:tabs>
          <w:tab w:val="left" w:pos="567"/>
          <w:tab w:val="left" w:pos="1134"/>
        </w:tabs>
        <w:spacing w:after="0"/>
        <w:rPr>
          <w:rFonts w:cs="Arial"/>
        </w:rPr>
      </w:pPr>
      <w:r>
        <w:rPr>
          <w:rFonts w:cs="Arial"/>
        </w:rPr>
        <w:t xml:space="preserve">In addition, following a review of the proposed saving relating to street lighting (SC023) it has been built back into the MTFS (£0.037m 2019/20) as further analysis has identified that the level of capital investment required does not enable the proposal to be financially viable.  </w:t>
      </w:r>
    </w:p>
    <w:p w:rsidR="004551E5" w:rsidRDefault="00A445D6" w:rsidP="008770AB">
      <w:pPr>
        <w:tabs>
          <w:tab w:val="left" w:pos="567"/>
          <w:tab w:val="left" w:pos="1134"/>
        </w:tabs>
        <w:spacing w:after="0"/>
        <w:rPr>
          <w:rFonts w:cs="Arial"/>
        </w:rPr>
      </w:pPr>
      <w:r>
        <w:rPr>
          <w:rFonts w:cs="Arial"/>
        </w:rPr>
        <w:t xml:space="preserve"> </w:t>
      </w:r>
    </w:p>
    <w:p w:rsidR="004551E5" w:rsidRDefault="009E0214" w:rsidP="008770AB">
      <w:pPr>
        <w:tabs>
          <w:tab w:val="left" w:pos="567"/>
          <w:tab w:val="left" w:pos="1134"/>
        </w:tabs>
        <w:spacing w:after="0"/>
        <w:rPr>
          <w:rFonts w:cs="Arial"/>
        </w:rPr>
      </w:pPr>
    </w:p>
    <w:p w:rsidR="00793E5C" w:rsidRDefault="009E0214" w:rsidP="00B06504">
      <w:pPr>
        <w:tabs>
          <w:tab w:val="left" w:pos="567"/>
          <w:tab w:val="left" w:pos="1134"/>
        </w:tabs>
        <w:spacing w:after="0"/>
        <w:rPr>
          <w:rFonts w:cs="Arial"/>
        </w:rPr>
      </w:pPr>
    </w:p>
    <w:p w:rsidR="00C869D6" w:rsidRDefault="009E0214" w:rsidP="00B06504">
      <w:pPr>
        <w:tabs>
          <w:tab w:val="left" w:pos="567"/>
          <w:tab w:val="left" w:pos="1134"/>
        </w:tabs>
        <w:spacing w:after="0"/>
        <w:rPr>
          <w:rFonts w:cs="Arial"/>
        </w:rPr>
      </w:pPr>
    </w:p>
    <w:p w:rsidR="004551E5" w:rsidRPr="005B5485" w:rsidRDefault="009E0214" w:rsidP="00B06504">
      <w:pPr>
        <w:tabs>
          <w:tab w:val="left" w:pos="567"/>
          <w:tab w:val="left" w:pos="1134"/>
        </w:tabs>
        <w:spacing w:after="0"/>
        <w:rPr>
          <w:rFonts w:cs="Arial"/>
          <w:highlight w:val="yellow"/>
        </w:rPr>
      </w:pPr>
    </w:p>
    <w:p w:rsidR="007446EE" w:rsidRDefault="009E0214" w:rsidP="00B06504">
      <w:pPr>
        <w:tabs>
          <w:tab w:val="left" w:pos="567"/>
          <w:tab w:val="left" w:pos="1134"/>
        </w:tabs>
        <w:spacing w:after="0"/>
        <w:rPr>
          <w:rFonts w:cs="Arial"/>
          <w:highlight w:val="yellow"/>
        </w:rPr>
      </w:pPr>
    </w:p>
    <w:p w:rsidR="00B06504" w:rsidRPr="002F493A" w:rsidRDefault="00A445D6" w:rsidP="00B06504">
      <w:pPr>
        <w:tabs>
          <w:tab w:val="left" w:pos="567"/>
          <w:tab w:val="left" w:pos="1134"/>
        </w:tabs>
        <w:spacing w:after="0"/>
        <w:rPr>
          <w:rFonts w:cs="Arial"/>
          <w:b/>
        </w:rPr>
      </w:pPr>
      <w:r w:rsidRPr="002F493A">
        <w:rPr>
          <w:rFonts w:cs="Arial"/>
          <w:b/>
        </w:rPr>
        <w:t>4. Reserves</w:t>
      </w:r>
    </w:p>
    <w:p w:rsidR="00236A1D" w:rsidRPr="002F493A" w:rsidRDefault="009E0214" w:rsidP="00B06504">
      <w:pPr>
        <w:tabs>
          <w:tab w:val="left" w:pos="567"/>
          <w:tab w:val="left" w:pos="1134"/>
        </w:tabs>
        <w:spacing w:after="0"/>
        <w:rPr>
          <w:rFonts w:cs="Arial"/>
          <w:b/>
        </w:rPr>
      </w:pPr>
    </w:p>
    <w:p w:rsidR="00B06504" w:rsidRDefault="00A445D6" w:rsidP="00B06504">
      <w:pPr>
        <w:tabs>
          <w:tab w:val="left" w:pos="567"/>
          <w:tab w:val="left" w:pos="1134"/>
        </w:tabs>
        <w:spacing w:after="0"/>
        <w:rPr>
          <w:rFonts w:cs="Arial"/>
          <w:b/>
          <w:i/>
          <w:u w:val="single"/>
        </w:rPr>
      </w:pPr>
      <w:r w:rsidRPr="002F493A">
        <w:rPr>
          <w:rFonts w:cs="Arial"/>
          <w:b/>
          <w:i/>
          <w:u w:val="single"/>
        </w:rPr>
        <w:t>Table 7</w:t>
      </w:r>
    </w:p>
    <w:p w:rsidR="004A645E" w:rsidRDefault="009E0214" w:rsidP="00B06504">
      <w:pPr>
        <w:tabs>
          <w:tab w:val="left" w:pos="567"/>
          <w:tab w:val="left" w:pos="1134"/>
        </w:tabs>
        <w:spacing w:after="0"/>
        <w:rPr>
          <w:rFonts w:cs="Arial"/>
          <w:b/>
          <w:i/>
          <w:u w:val="single"/>
        </w:rPr>
      </w:pPr>
    </w:p>
    <w:tbl>
      <w:tblPr>
        <w:tblW w:w="9742" w:type="dxa"/>
        <w:tblLook w:val="04A0" w:firstRow="1" w:lastRow="0" w:firstColumn="1" w:lastColumn="0" w:noHBand="0" w:noVBand="1"/>
      </w:tblPr>
      <w:tblGrid>
        <w:gridCol w:w="2062"/>
        <w:gridCol w:w="965"/>
        <w:gridCol w:w="1141"/>
        <w:gridCol w:w="1027"/>
        <w:gridCol w:w="1027"/>
        <w:gridCol w:w="883"/>
        <w:gridCol w:w="883"/>
        <w:gridCol w:w="883"/>
        <w:gridCol w:w="871"/>
      </w:tblGrid>
      <w:tr w:rsidR="00F0025F" w:rsidTr="005A5FF1">
        <w:trPr>
          <w:trHeight w:val="969"/>
        </w:trPr>
        <w:tc>
          <w:tcPr>
            <w:tcW w:w="2834"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8"/>
                <w:szCs w:val="18"/>
                <w:lang w:eastAsia="en-GB"/>
              </w:rPr>
            </w:pPr>
            <w:r w:rsidRPr="005A5FF1">
              <w:rPr>
                <w:rFonts w:eastAsia="Times New Roman" w:cs="Arial"/>
                <w:b/>
                <w:bCs/>
                <w:sz w:val="18"/>
                <w:szCs w:val="18"/>
                <w:lang w:eastAsia="en-GB"/>
              </w:rPr>
              <w:t>Reserve Name</w:t>
            </w:r>
          </w:p>
        </w:tc>
        <w:tc>
          <w:tcPr>
            <w:tcW w:w="965"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Opening Balance 2018/19</w:t>
            </w:r>
          </w:p>
        </w:tc>
        <w:tc>
          <w:tcPr>
            <w:tcW w:w="957"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2018/19 Expenditure</w:t>
            </w:r>
          </w:p>
        </w:tc>
        <w:tc>
          <w:tcPr>
            <w:tcW w:w="1027"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2018/19 transfers to / from other reserves</w:t>
            </w:r>
          </w:p>
        </w:tc>
        <w:tc>
          <w:tcPr>
            <w:tcW w:w="1027"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2018-19 Transfers from revenue budget</w:t>
            </w:r>
          </w:p>
        </w:tc>
        <w:tc>
          <w:tcPr>
            <w:tcW w:w="687"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2018/19 Forecast Closing Balance</w:t>
            </w:r>
          </w:p>
        </w:tc>
        <w:tc>
          <w:tcPr>
            <w:tcW w:w="687"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2019/20 Forecast Spend</w:t>
            </w:r>
          </w:p>
        </w:tc>
        <w:tc>
          <w:tcPr>
            <w:tcW w:w="687" w:type="dxa"/>
            <w:tcBorders>
              <w:top w:val="single" w:sz="8" w:space="0" w:color="auto"/>
              <w:left w:val="nil"/>
              <w:bottom w:val="single" w:sz="4"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2020/21 Forecast Spend</w:t>
            </w:r>
          </w:p>
        </w:tc>
        <w:tc>
          <w:tcPr>
            <w:tcW w:w="871" w:type="dxa"/>
            <w:tcBorders>
              <w:top w:val="single" w:sz="8" w:space="0" w:color="auto"/>
              <w:left w:val="nil"/>
              <w:bottom w:val="single" w:sz="4" w:space="0" w:color="auto"/>
              <w:right w:val="single" w:sz="8" w:space="0" w:color="auto"/>
            </w:tcBorders>
            <w:shd w:val="clear" w:color="000000" w:fill="BFBFBF"/>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Total as at 31 March 2021</w:t>
            </w:r>
          </w:p>
        </w:tc>
      </w:tr>
      <w:tr w:rsidR="00F0025F" w:rsidTr="005A5FF1">
        <w:trPr>
          <w:trHeight w:val="242"/>
        </w:trPr>
        <w:tc>
          <w:tcPr>
            <w:tcW w:w="2834" w:type="dxa"/>
            <w:tcBorders>
              <w:top w:val="nil"/>
              <w:left w:val="single" w:sz="8" w:space="0" w:color="auto"/>
              <w:bottom w:val="single" w:sz="4" w:space="0" w:color="auto"/>
              <w:right w:val="single" w:sz="4" w:space="0" w:color="auto"/>
            </w:tcBorders>
            <w:shd w:val="clear" w:color="000000" w:fill="BFBFBF"/>
            <w:vAlign w:val="bottom"/>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 </w:t>
            </w:r>
          </w:p>
        </w:tc>
        <w:tc>
          <w:tcPr>
            <w:tcW w:w="965" w:type="dxa"/>
            <w:tcBorders>
              <w:top w:val="nil"/>
              <w:left w:val="nil"/>
              <w:bottom w:val="single" w:sz="4" w:space="0" w:color="auto"/>
              <w:right w:val="single" w:sz="4" w:space="0" w:color="auto"/>
            </w:tcBorders>
            <w:shd w:val="clear" w:color="000000" w:fill="BFBFBF"/>
            <w:noWrap/>
            <w:vAlign w:val="bottom"/>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c>
          <w:tcPr>
            <w:tcW w:w="95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c>
          <w:tcPr>
            <w:tcW w:w="102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c>
          <w:tcPr>
            <w:tcW w:w="102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 </w:t>
            </w:r>
          </w:p>
        </w:tc>
        <w:tc>
          <w:tcPr>
            <w:tcW w:w="687" w:type="dxa"/>
            <w:tcBorders>
              <w:top w:val="nil"/>
              <w:left w:val="nil"/>
              <w:bottom w:val="single" w:sz="4" w:space="0" w:color="auto"/>
              <w:right w:val="single" w:sz="4" w:space="0" w:color="auto"/>
            </w:tcBorders>
            <w:shd w:val="clear" w:color="000000" w:fill="BFBFBF"/>
            <w:noWrap/>
            <w:vAlign w:val="bottom"/>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c>
          <w:tcPr>
            <w:tcW w:w="687" w:type="dxa"/>
            <w:tcBorders>
              <w:top w:val="nil"/>
              <w:left w:val="nil"/>
              <w:bottom w:val="single" w:sz="4" w:space="0" w:color="auto"/>
              <w:right w:val="single" w:sz="4" w:space="0" w:color="auto"/>
            </w:tcBorders>
            <w:shd w:val="clear" w:color="000000" w:fill="BFBFBF"/>
            <w:noWrap/>
            <w:vAlign w:val="bottom"/>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c>
          <w:tcPr>
            <w:tcW w:w="687" w:type="dxa"/>
            <w:tcBorders>
              <w:top w:val="nil"/>
              <w:left w:val="nil"/>
              <w:bottom w:val="single" w:sz="4" w:space="0" w:color="auto"/>
              <w:right w:val="single" w:sz="4" w:space="0" w:color="auto"/>
            </w:tcBorders>
            <w:shd w:val="clear" w:color="000000" w:fill="BFBFBF"/>
            <w:noWrap/>
            <w:vAlign w:val="bottom"/>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c>
          <w:tcPr>
            <w:tcW w:w="871" w:type="dxa"/>
            <w:tcBorders>
              <w:top w:val="nil"/>
              <w:left w:val="nil"/>
              <w:bottom w:val="single" w:sz="4" w:space="0" w:color="auto"/>
              <w:right w:val="single" w:sz="8" w:space="0" w:color="auto"/>
            </w:tcBorders>
            <w:shd w:val="clear" w:color="000000" w:fill="BFBFBF"/>
            <w:noWrap/>
            <w:vAlign w:val="bottom"/>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£m</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County Fund</w:t>
            </w:r>
          </w:p>
        </w:tc>
        <w:tc>
          <w:tcPr>
            <w:tcW w:w="965"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-23.437</w:t>
            </w:r>
          </w:p>
        </w:tc>
        <w:tc>
          <w:tcPr>
            <w:tcW w:w="95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-23.437</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-23.437</w:t>
            </w:r>
          </w:p>
        </w:tc>
      </w:tr>
      <w:tr w:rsidR="00F0025F" w:rsidTr="005A5FF1">
        <w:trPr>
          <w:trHeight w:val="606"/>
        </w:trPr>
        <w:tc>
          <w:tcPr>
            <w:tcW w:w="2834" w:type="dxa"/>
            <w:tcBorders>
              <w:top w:val="nil"/>
              <w:left w:val="single" w:sz="8" w:space="0" w:color="auto"/>
              <w:bottom w:val="single" w:sz="8"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left"/>
              <w:rPr>
                <w:rFonts w:eastAsia="Times New Roman" w:cs="Arial"/>
                <w:b/>
                <w:bCs/>
                <w:sz w:val="16"/>
                <w:szCs w:val="16"/>
                <w:lang w:eastAsia="en-GB"/>
              </w:rPr>
            </w:pPr>
            <w:r w:rsidRPr="005A5FF1">
              <w:rPr>
                <w:rFonts w:eastAsia="Times New Roman" w:cs="Arial"/>
                <w:b/>
                <w:bCs/>
                <w:sz w:val="16"/>
                <w:szCs w:val="16"/>
                <w:lang w:eastAsia="en-GB"/>
              </w:rPr>
              <w:t>SUB TOTAL - COUNTY FUND</w:t>
            </w:r>
          </w:p>
        </w:tc>
        <w:tc>
          <w:tcPr>
            <w:tcW w:w="965"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-23.437</w:t>
            </w:r>
          </w:p>
        </w:tc>
        <w:tc>
          <w:tcPr>
            <w:tcW w:w="95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102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102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68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-23.437</w:t>
            </w:r>
          </w:p>
        </w:tc>
        <w:tc>
          <w:tcPr>
            <w:tcW w:w="68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68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871" w:type="dxa"/>
            <w:tcBorders>
              <w:top w:val="nil"/>
              <w:left w:val="nil"/>
              <w:bottom w:val="single" w:sz="8"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-23.437</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Strategic Investment Reserve</w:t>
            </w:r>
          </w:p>
        </w:tc>
        <w:tc>
          <w:tcPr>
            <w:tcW w:w="965"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-3.765</w:t>
            </w:r>
          </w:p>
        </w:tc>
        <w:tc>
          <w:tcPr>
            <w:tcW w:w="95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0.740</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1.679</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single" w:sz="4" w:space="0" w:color="auto"/>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-1.346</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0.350</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0.850</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-0.146</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Downsizing Reserve</w:t>
            </w:r>
          </w:p>
        </w:tc>
        <w:tc>
          <w:tcPr>
            <w:tcW w:w="965"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-13.891</w:t>
            </w:r>
          </w:p>
        </w:tc>
        <w:tc>
          <w:tcPr>
            <w:tcW w:w="95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3.346</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5.941</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-4.604</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4.605</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 xml:space="preserve">Risk Management Reserve </w:t>
            </w:r>
          </w:p>
        </w:tc>
        <w:tc>
          <w:tcPr>
            <w:tcW w:w="965"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-5.402</w:t>
            </w:r>
          </w:p>
        </w:tc>
        <w:tc>
          <w:tcPr>
            <w:tcW w:w="95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3.267</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-0.688</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-2.823</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1.224</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0.800</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-0.800</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Transitional Reserve</w:t>
            </w:r>
          </w:p>
        </w:tc>
        <w:tc>
          <w:tcPr>
            <w:tcW w:w="965"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-155.066</w:t>
            </w:r>
          </w:p>
        </w:tc>
        <w:tc>
          <w:tcPr>
            <w:tcW w:w="95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41.555</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-14.735</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-11.025</w:t>
            </w:r>
          </w:p>
        </w:tc>
        <w:tc>
          <w:tcPr>
            <w:tcW w:w="68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-139.271</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0.437</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0.194</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-138.640</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 xml:space="preserve">Service Reserves </w:t>
            </w:r>
          </w:p>
        </w:tc>
        <w:tc>
          <w:tcPr>
            <w:tcW w:w="965"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-19.118</w:t>
            </w:r>
          </w:p>
        </w:tc>
        <w:tc>
          <w:tcPr>
            <w:tcW w:w="95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6.563</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7.804</w:t>
            </w:r>
          </w:p>
        </w:tc>
        <w:tc>
          <w:tcPr>
            <w:tcW w:w="102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-4.752</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3.057</w:t>
            </w:r>
          </w:p>
        </w:tc>
        <w:tc>
          <w:tcPr>
            <w:tcW w:w="687" w:type="dxa"/>
            <w:tcBorders>
              <w:top w:val="nil"/>
              <w:left w:val="nil"/>
              <w:bottom w:val="single" w:sz="4" w:space="0" w:color="auto"/>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0.762</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-0.932</w:t>
            </w:r>
          </w:p>
        </w:tc>
      </w:tr>
      <w:tr w:rsidR="00F0025F" w:rsidTr="005A5FF1">
        <w:trPr>
          <w:trHeight w:val="606"/>
        </w:trPr>
        <w:tc>
          <w:tcPr>
            <w:tcW w:w="2834" w:type="dxa"/>
            <w:tcBorders>
              <w:top w:val="nil"/>
              <w:left w:val="single" w:sz="8" w:space="0" w:color="auto"/>
              <w:bottom w:val="nil"/>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Treasury Management Reserve</w:t>
            </w:r>
          </w:p>
        </w:tc>
        <w:tc>
          <w:tcPr>
            <w:tcW w:w="965"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-10.000</w:t>
            </w:r>
          </w:p>
        </w:tc>
        <w:tc>
          <w:tcPr>
            <w:tcW w:w="95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102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102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nil"/>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-10.000</w:t>
            </w:r>
          </w:p>
        </w:tc>
        <w:tc>
          <w:tcPr>
            <w:tcW w:w="68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-10.000</w:t>
            </w:r>
          </w:p>
        </w:tc>
      </w:tr>
      <w:tr w:rsidR="00F0025F" w:rsidTr="005A5FF1">
        <w:trPr>
          <w:trHeight w:val="606"/>
        </w:trPr>
        <w:tc>
          <w:tcPr>
            <w:tcW w:w="2834" w:type="dxa"/>
            <w:tcBorders>
              <w:top w:val="single" w:sz="4" w:space="0" w:color="auto"/>
              <w:left w:val="single" w:sz="8" w:space="0" w:color="auto"/>
              <w:bottom w:val="single" w:sz="8"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left"/>
              <w:rPr>
                <w:rFonts w:eastAsia="Times New Roman" w:cs="Arial"/>
                <w:b/>
                <w:bCs/>
                <w:sz w:val="16"/>
                <w:szCs w:val="16"/>
                <w:lang w:eastAsia="en-GB"/>
              </w:rPr>
            </w:pPr>
            <w:r w:rsidRPr="005A5FF1">
              <w:rPr>
                <w:rFonts w:eastAsia="Times New Roman" w:cs="Arial"/>
                <w:b/>
                <w:bCs/>
                <w:sz w:val="16"/>
                <w:szCs w:val="16"/>
                <w:lang w:eastAsia="en-GB"/>
              </w:rPr>
              <w:t>SUB TOTAL - LCC RESERVES</w:t>
            </w:r>
          </w:p>
        </w:tc>
        <w:tc>
          <w:tcPr>
            <w:tcW w:w="965"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-207.243</w:t>
            </w:r>
          </w:p>
        </w:tc>
        <w:tc>
          <w:tcPr>
            <w:tcW w:w="95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55.471</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-11.025</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-162.796</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9.672</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2.606</w:t>
            </w:r>
          </w:p>
        </w:tc>
        <w:tc>
          <w:tcPr>
            <w:tcW w:w="871" w:type="dxa"/>
            <w:tcBorders>
              <w:top w:val="nil"/>
              <w:left w:val="nil"/>
              <w:bottom w:val="single" w:sz="8"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-150.518</w:t>
            </w:r>
          </w:p>
        </w:tc>
      </w:tr>
      <w:tr w:rsidR="00F0025F" w:rsidTr="005A5FF1">
        <w:trPr>
          <w:trHeight w:val="606"/>
        </w:trPr>
        <w:tc>
          <w:tcPr>
            <w:tcW w:w="2834" w:type="dxa"/>
            <w:tcBorders>
              <w:top w:val="nil"/>
              <w:left w:val="single" w:sz="8" w:space="0" w:color="auto"/>
              <w:bottom w:val="single" w:sz="4" w:space="0" w:color="auto"/>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sz w:val="16"/>
                <w:szCs w:val="16"/>
                <w:lang w:eastAsia="en-GB"/>
              </w:rPr>
            </w:pPr>
            <w:r w:rsidRPr="005A5FF1">
              <w:rPr>
                <w:rFonts w:eastAsia="Times New Roman" w:cs="Arial"/>
                <w:sz w:val="16"/>
                <w:szCs w:val="16"/>
                <w:lang w:eastAsia="en-GB"/>
              </w:rPr>
              <w:t>Schools/Non-LCC Service Reserves</w:t>
            </w:r>
          </w:p>
        </w:tc>
        <w:tc>
          <w:tcPr>
            <w:tcW w:w="965"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-16.521</w:t>
            </w:r>
          </w:p>
        </w:tc>
        <w:tc>
          <w:tcPr>
            <w:tcW w:w="95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1.647</w:t>
            </w:r>
          </w:p>
        </w:tc>
        <w:tc>
          <w:tcPr>
            <w:tcW w:w="102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102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0.000</w:t>
            </w:r>
          </w:p>
        </w:tc>
        <w:tc>
          <w:tcPr>
            <w:tcW w:w="687" w:type="dxa"/>
            <w:tcBorders>
              <w:top w:val="nil"/>
              <w:left w:val="nil"/>
              <w:bottom w:val="single" w:sz="4"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-14.874</w:t>
            </w:r>
          </w:p>
        </w:tc>
        <w:tc>
          <w:tcPr>
            <w:tcW w:w="68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-0.823</w:t>
            </w:r>
          </w:p>
        </w:tc>
        <w:tc>
          <w:tcPr>
            <w:tcW w:w="687" w:type="dxa"/>
            <w:tcBorders>
              <w:top w:val="nil"/>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-0.823</w:t>
            </w:r>
          </w:p>
        </w:tc>
        <w:tc>
          <w:tcPr>
            <w:tcW w:w="871" w:type="dxa"/>
            <w:tcBorders>
              <w:top w:val="nil"/>
              <w:left w:val="nil"/>
              <w:bottom w:val="single" w:sz="4"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-16.520</w:t>
            </w:r>
          </w:p>
        </w:tc>
      </w:tr>
      <w:tr w:rsidR="00F0025F" w:rsidTr="005A5FF1">
        <w:trPr>
          <w:trHeight w:val="399"/>
        </w:trPr>
        <w:tc>
          <w:tcPr>
            <w:tcW w:w="2834" w:type="dxa"/>
            <w:tcBorders>
              <w:top w:val="nil"/>
              <w:left w:val="single" w:sz="8" w:space="0" w:color="auto"/>
              <w:bottom w:val="single" w:sz="8"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left"/>
              <w:rPr>
                <w:rFonts w:eastAsia="Times New Roman" w:cs="Arial"/>
                <w:b/>
                <w:bCs/>
                <w:sz w:val="16"/>
                <w:szCs w:val="16"/>
                <w:lang w:eastAsia="en-GB"/>
              </w:rPr>
            </w:pPr>
            <w:r w:rsidRPr="005A5FF1">
              <w:rPr>
                <w:rFonts w:eastAsia="Times New Roman" w:cs="Arial"/>
                <w:b/>
                <w:bCs/>
                <w:sz w:val="16"/>
                <w:szCs w:val="16"/>
                <w:lang w:eastAsia="en-GB"/>
              </w:rPr>
              <w:t>SUB TOTAL SCHOOLS/NON LCC RESERVES</w:t>
            </w:r>
          </w:p>
        </w:tc>
        <w:tc>
          <w:tcPr>
            <w:tcW w:w="965"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-16.521</w:t>
            </w:r>
          </w:p>
        </w:tc>
        <w:tc>
          <w:tcPr>
            <w:tcW w:w="95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1.647</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102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687" w:type="dxa"/>
            <w:tcBorders>
              <w:top w:val="nil"/>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-14.874</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-0.823</w:t>
            </w:r>
          </w:p>
        </w:tc>
        <w:tc>
          <w:tcPr>
            <w:tcW w:w="687" w:type="dxa"/>
            <w:tcBorders>
              <w:top w:val="single" w:sz="4"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-0.823</w:t>
            </w:r>
          </w:p>
        </w:tc>
        <w:tc>
          <w:tcPr>
            <w:tcW w:w="871" w:type="dxa"/>
            <w:tcBorders>
              <w:top w:val="nil"/>
              <w:left w:val="nil"/>
              <w:bottom w:val="single" w:sz="8"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-16.520</w:t>
            </w:r>
          </w:p>
        </w:tc>
      </w:tr>
      <w:tr w:rsidR="00F0025F" w:rsidTr="005A5FF1">
        <w:trPr>
          <w:trHeight w:val="285"/>
        </w:trPr>
        <w:tc>
          <w:tcPr>
            <w:tcW w:w="2834" w:type="dxa"/>
            <w:tcBorders>
              <w:top w:val="single" w:sz="4" w:space="0" w:color="auto"/>
              <w:left w:val="single" w:sz="8" w:space="0" w:color="auto"/>
              <w:bottom w:val="nil"/>
              <w:right w:val="single" w:sz="4" w:space="0" w:color="auto"/>
            </w:tcBorders>
            <w:shd w:val="clear" w:color="auto" w:fill="auto"/>
            <w:vAlign w:val="center"/>
            <w:hideMark/>
          </w:tcPr>
          <w:p w:rsidR="005A5FF1" w:rsidRPr="005A5FF1" w:rsidRDefault="00A445D6" w:rsidP="005A5FF1">
            <w:pPr>
              <w:autoSpaceDE/>
              <w:autoSpaceDN/>
              <w:adjustRightInd/>
              <w:spacing w:after="0"/>
              <w:jc w:val="left"/>
              <w:rPr>
                <w:rFonts w:eastAsia="Times New Roman" w:cs="Arial"/>
                <w:i/>
                <w:iCs/>
                <w:sz w:val="16"/>
                <w:szCs w:val="16"/>
                <w:lang w:eastAsia="en-GB"/>
              </w:rPr>
            </w:pPr>
            <w:r w:rsidRPr="005A5FF1">
              <w:rPr>
                <w:rFonts w:eastAsia="Times New Roman" w:cs="Arial"/>
                <w:i/>
                <w:iCs/>
                <w:sz w:val="16"/>
                <w:szCs w:val="16"/>
                <w:lang w:eastAsia="en-GB"/>
              </w:rPr>
              <w:t> </w:t>
            </w:r>
          </w:p>
        </w:tc>
        <w:tc>
          <w:tcPr>
            <w:tcW w:w="965"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 </w:t>
            </w:r>
          </w:p>
        </w:tc>
        <w:tc>
          <w:tcPr>
            <w:tcW w:w="957"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 </w:t>
            </w:r>
          </w:p>
        </w:tc>
        <w:tc>
          <w:tcPr>
            <w:tcW w:w="1027"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 </w:t>
            </w:r>
          </w:p>
        </w:tc>
        <w:tc>
          <w:tcPr>
            <w:tcW w:w="1027"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 </w:t>
            </w:r>
          </w:p>
        </w:tc>
        <w:tc>
          <w:tcPr>
            <w:tcW w:w="687"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sz w:val="16"/>
                <w:szCs w:val="16"/>
                <w:lang w:eastAsia="en-GB"/>
              </w:rPr>
            </w:pPr>
            <w:r w:rsidRPr="005A5FF1">
              <w:rPr>
                <w:rFonts w:eastAsia="Times New Roman" w:cs="Arial"/>
                <w:sz w:val="16"/>
                <w:szCs w:val="16"/>
                <w:lang w:eastAsia="en-GB"/>
              </w:rPr>
              <w:t> </w:t>
            </w:r>
          </w:p>
        </w:tc>
        <w:tc>
          <w:tcPr>
            <w:tcW w:w="687"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i/>
                <w:iCs/>
                <w:sz w:val="16"/>
                <w:szCs w:val="16"/>
                <w:lang w:eastAsia="en-GB"/>
              </w:rPr>
            </w:pPr>
            <w:r w:rsidRPr="005A5FF1">
              <w:rPr>
                <w:rFonts w:eastAsia="Times New Roman" w:cs="Arial"/>
                <w:i/>
                <w:iCs/>
                <w:sz w:val="16"/>
                <w:szCs w:val="16"/>
                <w:lang w:eastAsia="en-GB"/>
              </w:rPr>
              <w:t> </w:t>
            </w:r>
          </w:p>
        </w:tc>
        <w:tc>
          <w:tcPr>
            <w:tcW w:w="687" w:type="dxa"/>
            <w:tcBorders>
              <w:top w:val="single" w:sz="4" w:space="0" w:color="auto"/>
              <w:left w:val="nil"/>
              <w:bottom w:val="nil"/>
              <w:right w:val="single" w:sz="4"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i/>
                <w:iCs/>
                <w:sz w:val="16"/>
                <w:szCs w:val="16"/>
                <w:lang w:eastAsia="en-GB"/>
              </w:rPr>
            </w:pPr>
            <w:r w:rsidRPr="005A5FF1">
              <w:rPr>
                <w:rFonts w:eastAsia="Times New Roman" w:cs="Arial"/>
                <w:i/>
                <w:iCs/>
                <w:sz w:val="16"/>
                <w:szCs w:val="16"/>
                <w:lang w:eastAsia="en-GB"/>
              </w:rPr>
              <w:t> </w:t>
            </w:r>
          </w:p>
        </w:tc>
        <w:tc>
          <w:tcPr>
            <w:tcW w:w="871" w:type="dxa"/>
            <w:tcBorders>
              <w:top w:val="nil"/>
              <w:left w:val="nil"/>
              <w:bottom w:val="nil"/>
              <w:right w:val="single" w:sz="8" w:space="0" w:color="auto"/>
            </w:tcBorders>
            <w:shd w:val="clear" w:color="auto" w:fill="auto"/>
            <w:noWrap/>
            <w:vAlign w:val="center"/>
            <w:hideMark/>
          </w:tcPr>
          <w:p w:rsidR="005A5FF1" w:rsidRPr="005A5FF1" w:rsidRDefault="00A445D6" w:rsidP="005A5FF1">
            <w:pPr>
              <w:autoSpaceDE/>
              <w:autoSpaceDN/>
              <w:adjustRightInd/>
              <w:spacing w:after="0"/>
              <w:jc w:val="center"/>
              <w:rPr>
                <w:rFonts w:eastAsia="Times New Roman" w:cs="Arial"/>
                <w:i/>
                <w:iCs/>
                <w:sz w:val="16"/>
                <w:szCs w:val="16"/>
                <w:lang w:eastAsia="en-GB"/>
              </w:rPr>
            </w:pPr>
            <w:r w:rsidRPr="005A5FF1">
              <w:rPr>
                <w:rFonts w:eastAsia="Times New Roman" w:cs="Arial"/>
                <w:i/>
                <w:iCs/>
                <w:sz w:val="16"/>
                <w:szCs w:val="16"/>
                <w:lang w:eastAsia="en-GB"/>
              </w:rPr>
              <w:t> </w:t>
            </w:r>
          </w:p>
        </w:tc>
      </w:tr>
      <w:tr w:rsidR="00F0025F" w:rsidTr="005A5FF1">
        <w:trPr>
          <w:trHeight w:val="399"/>
        </w:trPr>
        <w:tc>
          <w:tcPr>
            <w:tcW w:w="2834"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5A5FF1" w:rsidRPr="005A5FF1" w:rsidRDefault="00A445D6" w:rsidP="005A5FF1">
            <w:pPr>
              <w:autoSpaceDE/>
              <w:autoSpaceDN/>
              <w:adjustRightInd/>
              <w:spacing w:after="0"/>
              <w:jc w:val="left"/>
              <w:rPr>
                <w:rFonts w:eastAsia="Times New Roman" w:cs="Arial"/>
                <w:b/>
                <w:bCs/>
                <w:sz w:val="16"/>
                <w:szCs w:val="16"/>
                <w:lang w:eastAsia="en-GB"/>
              </w:rPr>
            </w:pPr>
            <w:r w:rsidRPr="005A5FF1">
              <w:rPr>
                <w:rFonts w:eastAsia="Times New Roman" w:cs="Arial"/>
                <w:b/>
                <w:bCs/>
                <w:sz w:val="16"/>
                <w:szCs w:val="16"/>
                <w:lang w:eastAsia="en-GB"/>
              </w:rPr>
              <w:t>GRAND TOTAL</w:t>
            </w:r>
          </w:p>
        </w:tc>
        <w:tc>
          <w:tcPr>
            <w:tcW w:w="965"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-247.201</w:t>
            </w:r>
          </w:p>
        </w:tc>
        <w:tc>
          <w:tcPr>
            <w:tcW w:w="957"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57.118</w:t>
            </w:r>
          </w:p>
        </w:tc>
        <w:tc>
          <w:tcPr>
            <w:tcW w:w="1027"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0.000</w:t>
            </w:r>
          </w:p>
        </w:tc>
        <w:tc>
          <w:tcPr>
            <w:tcW w:w="1027"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-11.025</w:t>
            </w:r>
          </w:p>
        </w:tc>
        <w:tc>
          <w:tcPr>
            <w:tcW w:w="687"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-201.108</w:t>
            </w:r>
          </w:p>
        </w:tc>
        <w:tc>
          <w:tcPr>
            <w:tcW w:w="687"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8.849</w:t>
            </w:r>
          </w:p>
        </w:tc>
        <w:tc>
          <w:tcPr>
            <w:tcW w:w="687" w:type="dxa"/>
            <w:tcBorders>
              <w:top w:val="single" w:sz="8" w:space="0" w:color="auto"/>
              <w:left w:val="nil"/>
              <w:bottom w:val="single" w:sz="8" w:space="0" w:color="auto"/>
              <w:right w:val="single" w:sz="4"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1.783</w:t>
            </w:r>
          </w:p>
        </w:tc>
        <w:tc>
          <w:tcPr>
            <w:tcW w:w="871" w:type="dxa"/>
            <w:tcBorders>
              <w:top w:val="single" w:sz="8" w:space="0" w:color="auto"/>
              <w:left w:val="nil"/>
              <w:bottom w:val="single" w:sz="8" w:space="0" w:color="auto"/>
              <w:right w:val="single" w:sz="8" w:space="0" w:color="auto"/>
            </w:tcBorders>
            <w:shd w:val="clear" w:color="000000" w:fill="BFBFBF"/>
            <w:noWrap/>
            <w:vAlign w:val="center"/>
            <w:hideMark/>
          </w:tcPr>
          <w:p w:rsidR="005A5FF1" w:rsidRPr="005A5FF1" w:rsidRDefault="00A445D6" w:rsidP="005A5FF1">
            <w:pPr>
              <w:autoSpaceDE/>
              <w:autoSpaceDN/>
              <w:adjustRightInd/>
              <w:spacing w:after="0"/>
              <w:jc w:val="center"/>
              <w:rPr>
                <w:rFonts w:eastAsia="Times New Roman" w:cs="Arial"/>
                <w:b/>
                <w:bCs/>
                <w:sz w:val="16"/>
                <w:szCs w:val="16"/>
                <w:lang w:eastAsia="en-GB"/>
              </w:rPr>
            </w:pPr>
            <w:r w:rsidRPr="005A5FF1">
              <w:rPr>
                <w:rFonts w:eastAsia="Times New Roman" w:cs="Arial"/>
                <w:b/>
                <w:bCs/>
                <w:sz w:val="16"/>
                <w:szCs w:val="16"/>
                <w:lang w:eastAsia="en-GB"/>
              </w:rPr>
              <w:t>-190.475</w:t>
            </w:r>
          </w:p>
        </w:tc>
      </w:tr>
    </w:tbl>
    <w:p w:rsidR="004A645E" w:rsidRPr="002F493A" w:rsidRDefault="009E0214" w:rsidP="004A645E">
      <w:pPr>
        <w:tabs>
          <w:tab w:val="left" w:pos="567"/>
          <w:tab w:val="left" w:pos="1134"/>
        </w:tabs>
        <w:spacing w:after="0"/>
        <w:ind w:left="-567"/>
        <w:rPr>
          <w:rFonts w:cs="Arial"/>
          <w:b/>
          <w:i/>
          <w:u w:val="single"/>
        </w:rPr>
      </w:pPr>
    </w:p>
    <w:p w:rsidR="00236A1D" w:rsidRPr="005B5485" w:rsidRDefault="009E0214" w:rsidP="00B06504">
      <w:pPr>
        <w:tabs>
          <w:tab w:val="left" w:pos="567"/>
          <w:tab w:val="left" w:pos="1134"/>
        </w:tabs>
        <w:spacing w:after="0"/>
        <w:rPr>
          <w:rFonts w:cs="Arial"/>
          <w:b/>
          <w:i/>
          <w:highlight w:val="yellow"/>
          <w:u w:val="single"/>
        </w:rPr>
      </w:pPr>
    </w:p>
    <w:p w:rsidR="00B06504" w:rsidRPr="000D12C5" w:rsidRDefault="00A445D6" w:rsidP="00B06504">
      <w:pPr>
        <w:spacing w:after="0"/>
        <w:ind w:right="-24"/>
        <w:rPr>
          <w:rFonts w:cs="Arial"/>
        </w:rPr>
      </w:pPr>
      <w:r w:rsidRPr="000D12C5">
        <w:rPr>
          <w:rFonts w:cs="Arial"/>
        </w:rPr>
        <w:t xml:space="preserve">The county fund shown at the top of Table 7 is the balance set aside to cover the authority against a serious emergency situation (e.g. widespread flooding); a critical and unexpected loss of income to the authority and for general cash flow purposes.  In considering these various factors the county council is forecast to maintain its County Fund balance at £23.437m. </w:t>
      </w:r>
    </w:p>
    <w:p w:rsidR="0036547C" w:rsidRPr="000D12C5" w:rsidRDefault="009E0214" w:rsidP="00B06504">
      <w:pPr>
        <w:tabs>
          <w:tab w:val="left" w:pos="567"/>
          <w:tab w:val="left" w:pos="1134"/>
        </w:tabs>
        <w:spacing w:after="0"/>
        <w:rPr>
          <w:rFonts w:cs="Arial"/>
        </w:rPr>
      </w:pPr>
    </w:p>
    <w:p w:rsidR="0036547C" w:rsidRPr="000D12C5" w:rsidRDefault="00A445D6" w:rsidP="0036547C">
      <w:pPr>
        <w:tabs>
          <w:tab w:val="left" w:pos="567"/>
          <w:tab w:val="left" w:pos="1134"/>
        </w:tabs>
        <w:spacing w:after="0"/>
        <w:rPr>
          <w:rFonts w:cs="Arial"/>
        </w:rPr>
      </w:pPr>
      <w:r w:rsidRPr="000D12C5">
        <w:rPr>
          <w:rFonts w:cs="Arial"/>
        </w:rPr>
        <w:t xml:space="preserve">The value of the uncommitted transitional reserve is currently forecast to be </w:t>
      </w:r>
      <w:r>
        <w:rPr>
          <w:rFonts w:cs="Arial"/>
        </w:rPr>
        <w:t xml:space="preserve">£138.640m </w:t>
      </w:r>
      <w:r w:rsidRPr="000D12C5">
        <w:rPr>
          <w:rFonts w:cs="Arial"/>
        </w:rPr>
        <w:t>by the end of March 2021 if there was no requirement for structural funding support from reserves to the 2019/20 or 2020/21 budgets. This represents a</w:t>
      </w:r>
      <w:r>
        <w:rPr>
          <w:rFonts w:cs="Arial"/>
        </w:rPr>
        <w:t>n</w:t>
      </w:r>
      <w:r w:rsidRPr="000D12C5">
        <w:rPr>
          <w:rFonts w:cs="Arial"/>
        </w:rPr>
        <w:t xml:space="preserve"> improved position from the £127.755m that was previously reported to cabinet in December</w:t>
      </w:r>
      <w:r>
        <w:rPr>
          <w:rFonts w:cs="Arial"/>
        </w:rPr>
        <w:t>; this is mainly</w:t>
      </w:r>
      <w:r w:rsidRPr="000D12C5">
        <w:rPr>
          <w:rFonts w:cs="Arial"/>
        </w:rPr>
        <w:t xml:space="preserve"> due to </w:t>
      </w:r>
      <w:r>
        <w:rPr>
          <w:rFonts w:cs="Arial"/>
        </w:rPr>
        <w:t xml:space="preserve">the inclusion of the 2018/19 forecast revenue underspend of £8.462m and </w:t>
      </w:r>
      <w:r w:rsidRPr="000D12C5">
        <w:rPr>
          <w:rFonts w:cs="Arial"/>
        </w:rPr>
        <w:t xml:space="preserve">some higher than previously forecast income.  </w:t>
      </w:r>
    </w:p>
    <w:p w:rsidR="0036547C" w:rsidRPr="005B5485" w:rsidRDefault="009E0214" w:rsidP="0036547C">
      <w:pPr>
        <w:tabs>
          <w:tab w:val="left" w:pos="567"/>
          <w:tab w:val="left" w:pos="1134"/>
        </w:tabs>
        <w:spacing w:after="0"/>
        <w:rPr>
          <w:rFonts w:cs="Arial"/>
          <w:highlight w:val="yellow"/>
        </w:rPr>
      </w:pPr>
    </w:p>
    <w:p w:rsidR="0036547C" w:rsidRPr="000D12C5" w:rsidRDefault="00A445D6" w:rsidP="0036547C">
      <w:pPr>
        <w:spacing w:after="0"/>
        <w:rPr>
          <w:rFonts w:cs="Arial"/>
        </w:rPr>
      </w:pPr>
      <w:r w:rsidRPr="000D12C5">
        <w:rPr>
          <w:rFonts w:cs="Arial"/>
        </w:rPr>
        <w:t xml:space="preserve">The transitional reserve is forecast to be sufficient to meet the identified funding gaps through to 2022/23 as set out in table 8 below. However, the intention is to identify further savings to reduce the gap, and hence the call on reserves, for 2020/21 and beyond.  </w:t>
      </w:r>
    </w:p>
    <w:p w:rsidR="008411DB" w:rsidRPr="005B5485" w:rsidRDefault="009E0214" w:rsidP="00B06504">
      <w:pPr>
        <w:tabs>
          <w:tab w:val="left" w:pos="567"/>
          <w:tab w:val="left" w:pos="1134"/>
        </w:tabs>
        <w:spacing w:after="0"/>
        <w:rPr>
          <w:rFonts w:cs="Arial"/>
          <w:highlight w:val="yellow"/>
        </w:rPr>
      </w:pPr>
    </w:p>
    <w:p w:rsidR="000D12C5" w:rsidRDefault="00A445D6" w:rsidP="00B06504">
      <w:pPr>
        <w:tabs>
          <w:tab w:val="left" w:pos="567"/>
          <w:tab w:val="left" w:pos="1134"/>
        </w:tabs>
        <w:spacing w:after="0"/>
        <w:rPr>
          <w:rFonts w:cs="Arial"/>
          <w:b/>
          <w:i/>
          <w:u w:val="single"/>
        </w:rPr>
      </w:pPr>
      <w:r w:rsidRPr="000D12C5">
        <w:rPr>
          <w:rFonts w:cs="Arial"/>
          <w:b/>
          <w:i/>
          <w:u w:val="single"/>
        </w:rPr>
        <w:t>Table 8</w:t>
      </w:r>
    </w:p>
    <w:p w:rsidR="00C20953" w:rsidRDefault="009E0214" w:rsidP="00B06504">
      <w:pPr>
        <w:tabs>
          <w:tab w:val="left" w:pos="567"/>
          <w:tab w:val="left" w:pos="1134"/>
        </w:tabs>
        <w:spacing w:after="0"/>
        <w:rPr>
          <w:rFonts w:cs="Arial"/>
          <w:b/>
          <w:i/>
          <w:u w:val="single"/>
        </w:rPr>
      </w:pPr>
    </w:p>
    <w:tbl>
      <w:tblPr>
        <w:tblW w:w="9062" w:type="dxa"/>
        <w:tblLook w:val="04A0" w:firstRow="1" w:lastRow="0" w:firstColumn="1" w:lastColumn="0" w:noHBand="0" w:noVBand="1"/>
      </w:tblPr>
      <w:tblGrid>
        <w:gridCol w:w="4385"/>
        <w:gridCol w:w="1169"/>
        <w:gridCol w:w="1169"/>
        <w:gridCol w:w="1169"/>
        <w:gridCol w:w="1170"/>
      </w:tblGrid>
      <w:tr w:rsidR="00F0025F" w:rsidTr="002C3234">
        <w:trPr>
          <w:trHeight w:val="330"/>
        </w:trPr>
        <w:tc>
          <w:tcPr>
            <w:tcW w:w="4385"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169"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2019/20</w:t>
            </w:r>
          </w:p>
        </w:tc>
        <w:tc>
          <w:tcPr>
            <w:tcW w:w="1169"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2020/21</w:t>
            </w:r>
          </w:p>
        </w:tc>
        <w:tc>
          <w:tcPr>
            <w:tcW w:w="1169"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2021/22</w:t>
            </w:r>
          </w:p>
        </w:tc>
        <w:tc>
          <w:tcPr>
            <w:tcW w:w="1170"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2022/23</w:t>
            </w:r>
          </w:p>
        </w:tc>
      </w:tr>
      <w:tr w:rsidR="00F0025F" w:rsidTr="002C3234">
        <w:trPr>
          <w:trHeight w:val="33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Opening Balance</w:t>
            </w:r>
            <w:r>
              <w:rPr>
                <w:rFonts w:eastAsia="Times New Roman" w:cs="Arial"/>
                <w:b/>
                <w:bCs/>
                <w:lang w:eastAsia="en-GB"/>
              </w:rPr>
              <w:t xml:space="preserve"> (£m)</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139.271</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125.388</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94.818</w:t>
            </w:r>
          </w:p>
        </w:tc>
        <w:tc>
          <w:tcPr>
            <w:tcW w:w="1170"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58.985</w:t>
            </w:r>
          </w:p>
        </w:tc>
      </w:tr>
      <w:tr w:rsidR="00F0025F" w:rsidTr="002C3234">
        <w:trPr>
          <w:trHeight w:val="33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Gap funding</w:t>
            </w:r>
            <w:r>
              <w:rPr>
                <w:rFonts w:eastAsia="Times New Roman" w:cs="Arial"/>
                <w:b/>
                <w:bCs/>
                <w:lang w:eastAsia="en-GB"/>
              </w:rPr>
              <w:t xml:space="preserve"> (£m)</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30.376</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35.833</w:t>
            </w:r>
          </w:p>
        </w:tc>
        <w:tc>
          <w:tcPr>
            <w:tcW w:w="1170"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47.209</w:t>
            </w:r>
          </w:p>
        </w:tc>
      </w:tr>
      <w:tr w:rsidR="00F0025F" w:rsidTr="002C3234">
        <w:trPr>
          <w:trHeight w:val="330"/>
        </w:trPr>
        <w:tc>
          <w:tcPr>
            <w:tcW w:w="4385"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Commitments</w:t>
            </w:r>
            <w:r>
              <w:rPr>
                <w:rFonts w:eastAsia="Times New Roman" w:cs="Arial"/>
                <w:b/>
                <w:bCs/>
                <w:lang w:eastAsia="en-GB"/>
              </w:rPr>
              <w:t xml:space="preserve"> (£m)</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0.437</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0.194</w:t>
            </w:r>
          </w:p>
        </w:tc>
        <w:tc>
          <w:tcPr>
            <w:tcW w:w="116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c>
          <w:tcPr>
            <w:tcW w:w="1170"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r>
      <w:tr w:rsidR="00F0025F" w:rsidTr="002C3234">
        <w:trPr>
          <w:trHeight w:val="330"/>
        </w:trPr>
        <w:tc>
          <w:tcPr>
            <w:tcW w:w="4385"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Closing balance</w:t>
            </w:r>
            <w:r>
              <w:rPr>
                <w:rFonts w:eastAsia="Times New Roman" w:cs="Arial"/>
                <w:b/>
                <w:bCs/>
                <w:lang w:eastAsia="en-GB"/>
              </w:rPr>
              <w:t xml:space="preserve"> (£m)</w:t>
            </w:r>
          </w:p>
        </w:tc>
        <w:tc>
          <w:tcPr>
            <w:tcW w:w="116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125.388</w:t>
            </w:r>
          </w:p>
        </w:tc>
        <w:tc>
          <w:tcPr>
            <w:tcW w:w="116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94.818</w:t>
            </w:r>
          </w:p>
        </w:tc>
        <w:tc>
          <w:tcPr>
            <w:tcW w:w="116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58.985</w:t>
            </w:r>
          </w:p>
        </w:tc>
        <w:tc>
          <w:tcPr>
            <w:tcW w:w="1170"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11.776</w:t>
            </w:r>
          </w:p>
        </w:tc>
      </w:tr>
    </w:tbl>
    <w:p w:rsidR="00C20953" w:rsidRDefault="009E0214" w:rsidP="00B06504">
      <w:pPr>
        <w:tabs>
          <w:tab w:val="left" w:pos="567"/>
          <w:tab w:val="left" w:pos="1134"/>
        </w:tabs>
        <w:spacing w:after="0"/>
        <w:rPr>
          <w:rFonts w:cs="Arial"/>
          <w:b/>
          <w:i/>
          <w:u w:val="single"/>
        </w:rPr>
      </w:pPr>
    </w:p>
    <w:p w:rsidR="00E30F97" w:rsidRDefault="009E0214" w:rsidP="00B06504">
      <w:pPr>
        <w:tabs>
          <w:tab w:val="left" w:pos="567"/>
          <w:tab w:val="left" w:pos="1134"/>
        </w:tabs>
        <w:spacing w:after="0"/>
        <w:rPr>
          <w:rFonts w:cs="Arial"/>
          <w:b/>
          <w:i/>
          <w:u w:val="single"/>
        </w:rPr>
      </w:pPr>
    </w:p>
    <w:p w:rsidR="00E30F97" w:rsidRPr="000D12C5" w:rsidRDefault="009E0214" w:rsidP="00B06504">
      <w:pPr>
        <w:tabs>
          <w:tab w:val="left" w:pos="567"/>
          <w:tab w:val="left" w:pos="1134"/>
        </w:tabs>
        <w:spacing w:after="0"/>
        <w:rPr>
          <w:rFonts w:cs="Arial"/>
          <w:b/>
          <w:i/>
          <w:u w:val="single"/>
        </w:rPr>
      </w:pPr>
    </w:p>
    <w:p w:rsidR="000D12C5" w:rsidRDefault="009E0214" w:rsidP="00B06504">
      <w:pPr>
        <w:tabs>
          <w:tab w:val="left" w:pos="567"/>
          <w:tab w:val="left" w:pos="1134"/>
        </w:tabs>
        <w:spacing w:after="0"/>
        <w:rPr>
          <w:rFonts w:cs="Arial"/>
          <w:b/>
          <w:i/>
          <w:highlight w:val="yellow"/>
          <w:u w:val="single"/>
        </w:rPr>
      </w:pPr>
    </w:p>
    <w:p w:rsidR="000D12C5" w:rsidRPr="005B5485" w:rsidRDefault="009E0214" w:rsidP="00B06504">
      <w:pPr>
        <w:tabs>
          <w:tab w:val="left" w:pos="567"/>
          <w:tab w:val="left" w:pos="1134"/>
        </w:tabs>
        <w:spacing w:after="0"/>
        <w:rPr>
          <w:rFonts w:cs="Arial"/>
          <w:b/>
          <w:i/>
          <w:highlight w:val="yellow"/>
          <w:u w:val="single"/>
        </w:rPr>
      </w:pPr>
    </w:p>
    <w:p w:rsidR="00236A1D" w:rsidRPr="005B5485" w:rsidRDefault="009E0214" w:rsidP="00B06504">
      <w:pPr>
        <w:tabs>
          <w:tab w:val="left" w:pos="567"/>
          <w:tab w:val="left" w:pos="1134"/>
        </w:tabs>
        <w:spacing w:after="0"/>
        <w:rPr>
          <w:rFonts w:cs="Arial"/>
          <w:b/>
          <w:i/>
          <w:highlight w:val="yellow"/>
          <w:u w:val="single"/>
        </w:rPr>
      </w:pPr>
    </w:p>
    <w:p w:rsidR="00236A1D" w:rsidRPr="005B5485" w:rsidRDefault="009E0214" w:rsidP="00B06504">
      <w:pPr>
        <w:tabs>
          <w:tab w:val="left" w:pos="567"/>
          <w:tab w:val="left" w:pos="1134"/>
        </w:tabs>
        <w:spacing w:after="0"/>
        <w:rPr>
          <w:rFonts w:cs="Arial"/>
          <w:b/>
          <w:i/>
          <w:highlight w:val="yellow"/>
          <w:u w:val="single"/>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Pr="005B5485" w:rsidRDefault="009E0214" w:rsidP="00B06504">
      <w:pPr>
        <w:spacing w:after="0"/>
        <w:ind w:right="-24"/>
        <w:rPr>
          <w:rFonts w:cs="Arial"/>
          <w:highlight w:val="yellow"/>
        </w:rPr>
      </w:pPr>
    </w:p>
    <w:p w:rsidR="00B06504" w:rsidRDefault="009E0214" w:rsidP="00B06504">
      <w:pPr>
        <w:spacing w:after="0"/>
        <w:ind w:right="-24"/>
        <w:rPr>
          <w:rFonts w:cs="Arial"/>
          <w:highlight w:val="yellow"/>
        </w:rPr>
      </w:pPr>
    </w:p>
    <w:p w:rsidR="007446EE" w:rsidRDefault="009E0214" w:rsidP="00B06504">
      <w:pPr>
        <w:spacing w:after="0"/>
        <w:ind w:right="-24"/>
        <w:rPr>
          <w:rFonts w:cs="Arial"/>
          <w:highlight w:val="yellow"/>
        </w:rPr>
      </w:pPr>
    </w:p>
    <w:p w:rsidR="00C20953" w:rsidRDefault="009E0214" w:rsidP="00B06504">
      <w:pPr>
        <w:tabs>
          <w:tab w:val="left" w:pos="567"/>
          <w:tab w:val="left" w:pos="1134"/>
        </w:tabs>
        <w:spacing w:after="0"/>
        <w:rPr>
          <w:rFonts w:cs="Arial"/>
          <w:highlight w:val="yellow"/>
        </w:rPr>
      </w:pPr>
    </w:p>
    <w:p w:rsidR="007446EE" w:rsidRPr="005B5485" w:rsidRDefault="009E0214" w:rsidP="00B06504">
      <w:pPr>
        <w:tabs>
          <w:tab w:val="left" w:pos="567"/>
          <w:tab w:val="left" w:pos="1134"/>
        </w:tabs>
        <w:spacing w:after="0"/>
        <w:rPr>
          <w:rFonts w:cs="Arial"/>
          <w:b/>
          <w:highlight w:val="yellow"/>
        </w:rPr>
      </w:pPr>
    </w:p>
    <w:p w:rsidR="00E30F97" w:rsidRDefault="009E0214" w:rsidP="00B06504">
      <w:pPr>
        <w:tabs>
          <w:tab w:val="left" w:pos="567"/>
          <w:tab w:val="left" w:pos="1134"/>
        </w:tabs>
        <w:spacing w:after="0"/>
        <w:rPr>
          <w:rFonts w:cs="Arial"/>
          <w:b/>
          <w:highlight w:val="yellow"/>
        </w:rPr>
      </w:pPr>
    </w:p>
    <w:p w:rsidR="00B06504" w:rsidRPr="009B4EFE" w:rsidRDefault="00A445D6" w:rsidP="00B06504">
      <w:pPr>
        <w:tabs>
          <w:tab w:val="left" w:pos="567"/>
          <w:tab w:val="left" w:pos="1134"/>
        </w:tabs>
        <w:spacing w:after="0"/>
        <w:rPr>
          <w:rFonts w:cs="Arial"/>
          <w:b/>
        </w:rPr>
      </w:pPr>
      <w:r w:rsidRPr="009B4EFE">
        <w:rPr>
          <w:rFonts w:cs="Arial"/>
          <w:b/>
        </w:rPr>
        <w:t>5. Future Risks and Opportunities</w:t>
      </w:r>
    </w:p>
    <w:p w:rsidR="00B06504" w:rsidRPr="009B4EFE" w:rsidRDefault="009E0214" w:rsidP="00B06504">
      <w:pPr>
        <w:tabs>
          <w:tab w:val="left" w:pos="567"/>
          <w:tab w:val="left" w:pos="1134"/>
        </w:tabs>
        <w:spacing w:after="0"/>
        <w:rPr>
          <w:rFonts w:cs="Arial"/>
        </w:rPr>
      </w:pPr>
    </w:p>
    <w:p w:rsidR="00B06504" w:rsidRPr="009B4EFE" w:rsidRDefault="00A445D6" w:rsidP="00B06504">
      <w:pPr>
        <w:tabs>
          <w:tab w:val="left" w:pos="567"/>
          <w:tab w:val="left" w:pos="1134"/>
        </w:tabs>
        <w:spacing w:after="0"/>
        <w:rPr>
          <w:rFonts w:cs="Arial"/>
        </w:rPr>
      </w:pPr>
      <w:r w:rsidRPr="009B4EFE">
        <w:rPr>
          <w:rFonts w:cs="Arial"/>
        </w:rPr>
        <w:t>The following are key future risks, the full impact of which is not known at this stage:</w:t>
      </w:r>
    </w:p>
    <w:p w:rsidR="00B06504" w:rsidRPr="009B4EFE" w:rsidRDefault="009E0214" w:rsidP="00B06504">
      <w:pPr>
        <w:tabs>
          <w:tab w:val="left" w:pos="567"/>
          <w:tab w:val="left" w:pos="1134"/>
        </w:tabs>
        <w:spacing w:after="0"/>
        <w:rPr>
          <w:rFonts w:cs="Arial"/>
        </w:rPr>
      </w:pPr>
    </w:p>
    <w:p w:rsidR="00B06504" w:rsidRPr="009B4EFE" w:rsidRDefault="00A445D6" w:rsidP="00B06504">
      <w:pPr>
        <w:tabs>
          <w:tab w:val="left" w:pos="567"/>
          <w:tab w:val="left" w:pos="1134"/>
        </w:tabs>
        <w:spacing w:after="0"/>
        <w:rPr>
          <w:rFonts w:cs="Arial"/>
          <w:b/>
        </w:rPr>
      </w:pPr>
      <w:r w:rsidRPr="009B4EFE">
        <w:rPr>
          <w:rFonts w:cs="Arial"/>
          <w:b/>
        </w:rPr>
        <w:t>5.1 Savings Delivery</w:t>
      </w:r>
    </w:p>
    <w:p w:rsidR="00B06504" w:rsidRPr="009B4EFE" w:rsidRDefault="009E0214" w:rsidP="00B06504">
      <w:pPr>
        <w:pStyle w:val="PlainText"/>
        <w:rPr>
          <w:rFonts w:ascii="Arial" w:hAnsi="Arial" w:cs="Arial"/>
          <w:sz w:val="24"/>
          <w:szCs w:val="24"/>
        </w:rPr>
      </w:pPr>
    </w:p>
    <w:p w:rsidR="00E92259" w:rsidRPr="009B4EFE" w:rsidRDefault="00A445D6" w:rsidP="00E92259">
      <w:pPr>
        <w:spacing w:after="0"/>
        <w:rPr>
          <w:rFonts w:cs="Arial"/>
        </w:rPr>
      </w:pPr>
      <w:r w:rsidRPr="009B4EFE">
        <w:rPr>
          <w:rFonts w:cs="Arial"/>
        </w:rPr>
        <w:t>The scale of additional savings agreed is significant on top of over £40m of previously agreed savings still to be delivered in 2019/20 and future years. There are inherent risks in the delivery of any savings programme of this scale, particularly where they are directly linked to reducing the future demand for services.  However, there is a strong track record of delivery of the vast majority of previous savings plans. Furthermore, a number of services have properly identified the need to invest in both temporary and recurrent resources to provide additional capacity needed to deliver the savings proposed.</w:t>
      </w:r>
    </w:p>
    <w:p w:rsidR="00E92259" w:rsidRPr="009B4EFE" w:rsidRDefault="009E0214" w:rsidP="00E92259">
      <w:pPr>
        <w:spacing w:after="0"/>
        <w:rPr>
          <w:rFonts w:cs="Arial"/>
        </w:rPr>
      </w:pPr>
    </w:p>
    <w:p w:rsidR="00E92259" w:rsidRDefault="00A445D6" w:rsidP="00E92259">
      <w:pPr>
        <w:spacing w:after="0"/>
        <w:rPr>
          <w:rFonts w:cs="Arial"/>
        </w:rPr>
      </w:pPr>
      <w:r w:rsidRPr="009B4EFE">
        <w:rPr>
          <w:rFonts w:cs="Arial"/>
        </w:rPr>
        <w:t>Any significant under-delivery or slippage to delivery timeframes will create an additional funding pressure and impact on the ongoing and longer-term financial health of the council.  This has been identified as one of the highest risks in the risk and opportunity register.  There are comprehensive arrangements in place to track delivery of financial savings and take corrective actions where required. Where services are experiencing a potential negative variance in their savings plans, managers are actively seeking to meet any shortfalls through other activities within their service area.</w:t>
      </w:r>
    </w:p>
    <w:p w:rsidR="00145D0B" w:rsidRDefault="009E0214" w:rsidP="00E92259">
      <w:pPr>
        <w:spacing w:after="0"/>
        <w:rPr>
          <w:rFonts w:cs="Arial"/>
        </w:rPr>
      </w:pPr>
    </w:p>
    <w:p w:rsidR="006211CA" w:rsidRDefault="00A445D6" w:rsidP="006211CA">
      <w:pPr>
        <w:tabs>
          <w:tab w:val="left" w:pos="567"/>
          <w:tab w:val="left" w:pos="1134"/>
        </w:tabs>
        <w:spacing w:after="0"/>
        <w:rPr>
          <w:rFonts w:cs="Arial"/>
        </w:rPr>
      </w:pPr>
      <w:r w:rsidRPr="0032111E">
        <w:rPr>
          <w:rFonts w:cs="Arial"/>
        </w:rPr>
        <w:t xml:space="preserve">The financial </w:t>
      </w:r>
      <w:r>
        <w:rPr>
          <w:rFonts w:cs="Arial"/>
        </w:rPr>
        <w:t xml:space="preserve">gap includes </w:t>
      </w:r>
      <w:r w:rsidRPr="0032111E">
        <w:rPr>
          <w:rFonts w:cs="Arial"/>
        </w:rPr>
        <w:t xml:space="preserve">the impact of service challenge savings that were agreed at December Cabinet totalling c£77m. </w:t>
      </w:r>
      <w:r>
        <w:rPr>
          <w:rFonts w:cs="Arial"/>
        </w:rPr>
        <w:t xml:space="preserve">£7.566m of the savings proposals are subject to the outcome of specific consultations that are needing to be undertaken.  Following the Cabinet decision detailed project planning has been completed by services with regard to those consultations, including when the outcome of them will be reported back to Cabinet to make a final decision with regard to their implementation.  </w:t>
      </w:r>
    </w:p>
    <w:p w:rsidR="006211CA" w:rsidRDefault="009E0214" w:rsidP="006211CA">
      <w:pPr>
        <w:tabs>
          <w:tab w:val="left" w:pos="567"/>
          <w:tab w:val="left" w:pos="1134"/>
        </w:tabs>
        <w:spacing w:after="0"/>
        <w:rPr>
          <w:rFonts w:cs="Arial"/>
        </w:rPr>
      </w:pPr>
    </w:p>
    <w:p w:rsidR="006211CA" w:rsidRPr="0032111E" w:rsidRDefault="00A445D6" w:rsidP="006211CA">
      <w:pPr>
        <w:tabs>
          <w:tab w:val="left" w:pos="567"/>
          <w:tab w:val="left" w:pos="1134"/>
        </w:tabs>
        <w:spacing w:after="0"/>
        <w:rPr>
          <w:rFonts w:cs="Arial"/>
        </w:rPr>
      </w:pPr>
      <w:r>
        <w:rPr>
          <w:rFonts w:cs="Arial"/>
        </w:rPr>
        <w:t>As a result of the review and project planning, SC023 – Highways Countywide Services – Streetlighting (Part Night Lighting) is now no longer being considered.  The value of proposals now subject to specific consultation has been revised to £7.529m, £2.150m of which would need to be covered by reserves in 2019/20 if not ultimately agreed by Cabinet.</w:t>
      </w:r>
    </w:p>
    <w:p w:rsidR="006211CA" w:rsidRDefault="009E0214" w:rsidP="00E92259">
      <w:pPr>
        <w:spacing w:after="0"/>
        <w:rPr>
          <w:rFonts w:cs="Arial"/>
        </w:rPr>
      </w:pPr>
    </w:p>
    <w:p w:rsidR="00145D0B" w:rsidRPr="009B4EFE" w:rsidRDefault="00A445D6" w:rsidP="00E92259">
      <w:pPr>
        <w:spacing w:after="0"/>
        <w:rPr>
          <w:rFonts w:cs="Arial"/>
        </w:rPr>
      </w:pPr>
      <w:r>
        <w:rPr>
          <w:rFonts w:cs="Arial"/>
        </w:rPr>
        <w:t xml:space="preserve">As part of section 5.6 of this report a scenario is presented showing the impact if the savings in Appendix C were not agreed post consultation. </w:t>
      </w:r>
    </w:p>
    <w:p w:rsidR="00B06504" w:rsidRPr="009B4EFE" w:rsidRDefault="009E0214" w:rsidP="00B06504">
      <w:pPr>
        <w:tabs>
          <w:tab w:val="left" w:pos="567"/>
          <w:tab w:val="left" w:pos="1134"/>
        </w:tabs>
        <w:spacing w:after="0"/>
        <w:rPr>
          <w:rFonts w:cs="Arial"/>
        </w:rPr>
      </w:pPr>
    </w:p>
    <w:p w:rsidR="00B06504" w:rsidRPr="009B4EFE" w:rsidRDefault="00A445D6" w:rsidP="00B06504">
      <w:pPr>
        <w:tabs>
          <w:tab w:val="left" w:pos="567"/>
          <w:tab w:val="left" w:pos="1134"/>
        </w:tabs>
        <w:spacing w:after="0"/>
        <w:rPr>
          <w:rFonts w:cs="Arial"/>
          <w:b/>
        </w:rPr>
      </w:pPr>
      <w:r w:rsidRPr="009B4EFE">
        <w:rPr>
          <w:rFonts w:cs="Arial"/>
          <w:b/>
        </w:rPr>
        <w:t>5.2 Further Savings Opportunities – Service Challenge</w:t>
      </w:r>
    </w:p>
    <w:p w:rsidR="00B06504" w:rsidRPr="005B5485" w:rsidRDefault="009E0214" w:rsidP="00B06504">
      <w:pPr>
        <w:tabs>
          <w:tab w:val="left" w:pos="567"/>
          <w:tab w:val="left" w:pos="1134"/>
        </w:tabs>
        <w:spacing w:after="0"/>
        <w:rPr>
          <w:rFonts w:cs="Arial"/>
          <w:b/>
          <w:highlight w:val="yellow"/>
        </w:rPr>
      </w:pPr>
    </w:p>
    <w:p w:rsidR="00F06757" w:rsidRPr="009B4EFE" w:rsidRDefault="00A445D6" w:rsidP="00B06504">
      <w:pPr>
        <w:spacing w:after="0"/>
        <w:rPr>
          <w:rFonts w:cs="Arial"/>
        </w:rPr>
      </w:pPr>
      <w:r>
        <w:rPr>
          <w:rFonts w:cs="Arial"/>
        </w:rPr>
        <w:t xml:space="preserve">The </w:t>
      </w:r>
      <w:r w:rsidRPr="009B4EFE">
        <w:rPr>
          <w:rFonts w:cs="Arial"/>
        </w:rPr>
        <w:t xml:space="preserve">report to Cabinet in December 2018 presented and agreed the conclusion of the initial service challenge process, with each service across the county council presenting opportunities for further savings. A benchmarking exercise across all county councils (and other councils where appropriate) identified that there are some service areas where Lancashire is high cost. The service challenge process was targeted at understanding the reasons for this and designing the delivery of better services at lower (median county council) cost.  This process resulted in the identification of c£77m from 42 individual service challenge reviews. There remain a number of areas where further, more detailed analysis and investigation is required and phase two of the service challenge process will progress this work as well as look more strategically at some cross-cutting issues that could provide the potential for additional savings proposals to come forward to future cabinet meetings for consideration.  </w:t>
      </w:r>
    </w:p>
    <w:p w:rsidR="00E92259" w:rsidRPr="009B4EFE" w:rsidRDefault="009E0214" w:rsidP="00B06504">
      <w:pPr>
        <w:spacing w:after="0"/>
        <w:rPr>
          <w:rFonts w:cs="Arial"/>
        </w:rPr>
      </w:pPr>
    </w:p>
    <w:p w:rsidR="00F06757" w:rsidRPr="009B4EFE" w:rsidRDefault="00A445D6" w:rsidP="00B06504">
      <w:pPr>
        <w:spacing w:after="0"/>
        <w:rPr>
          <w:rFonts w:ascii="ArialMT" w:eastAsia="Cambria" w:hAnsi="ArialMT" w:cs="ArialMT"/>
          <w:color w:val="auto"/>
          <w:lang w:eastAsia="en-GB"/>
        </w:rPr>
      </w:pPr>
      <w:r w:rsidRPr="009B4EFE">
        <w:rPr>
          <w:rFonts w:cs="Arial"/>
        </w:rPr>
        <w:t xml:space="preserve">As noted in section 5.1 this is a significant additional programme of savings and is therefore subject to the same risks and mitigations. As part of the identification of the savings a significant validation and project management exercise has been undertaken for each proposal and detailed monitoring and review will take place on all proposals agreed for implementation. </w:t>
      </w:r>
    </w:p>
    <w:p w:rsidR="00B06504" w:rsidRPr="005B5485" w:rsidRDefault="009E0214" w:rsidP="00B06504">
      <w:pPr>
        <w:tabs>
          <w:tab w:val="left" w:pos="567"/>
          <w:tab w:val="left" w:pos="1134"/>
        </w:tabs>
        <w:spacing w:after="0"/>
        <w:rPr>
          <w:rFonts w:cs="Arial"/>
          <w:highlight w:val="yellow"/>
        </w:rPr>
      </w:pPr>
    </w:p>
    <w:p w:rsidR="00B06504" w:rsidRPr="009B4EFE" w:rsidRDefault="00A445D6" w:rsidP="00B06504">
      <w:pPr>
        <w:tabs>
          <w:tab w:val="left" w:pos="567"/>
          <w:tab w:val="left" w:pos="1134"/>
        </w:tabs>
        <w:spacing w:after="0"/>
        <w:rPr>
          <w:rFonts w:cs="Arial"/>
          <w:b/>
        </w:rPr>
      </w:pPr>
      <w:r w:rsidRPr="009B4EFE">
        <w:rPr>
          <w:rFonts w:cs="Arial"/>
          <w:b/>
        </w:rPr>
        <w:t>5.3 Business Rates Retention / Changes to Funding Formula</w:t>
      </w:r>
    </w:p>
    <w:p w:rsidR="00B06504" w:rsidRPr="009B4EFE" w:rsidRDefault="009E0214" w:rsidP="00B06504">
      <w:pPr>
        <w:tabs>
          <w:tab w:val="left" w:pos="567"/>
          <w:tab w:val="left" w:pos="1134"/>
        </w:tabs>
        <w:spacing w:after="0"/>
        <w:rPr>
          <w:rFonts w:cs="Arial"/>
          <w:b/>
        </w:rPr>
      </w:pPr>
    </w:p>
    <w:p w:rsidR="00F06757" w:rsidRPr="009B4EFE" w:rsidRDefault="00A445D6" w:rsidP="00B06504">
      <w:pPr>
        <w:tabs>
          <w:tab w:val="left" w:pos="567"/>
          <w:tab w:val="left" w:pos="1134"/>
        </w:tabs>
        <w:spacing w:after="0"/>
        <w:rPr>
          <w:rFonts w:cs="Arial"/>
        </w:rPr>
      </w:pPr>
      <w:r w:rsidRPr="009B4EFE">
        <w:rPr>
          <w:rFonts w:cs="Arial"/>
        </w:rPr>
        <w:t>As previously explained, the future funding arrangements to be established by government pos</w:t>
      </w:r>
      <w:r>
        <w:rPr>
          <w:rFonts w:cs="Arial"/>
        </w:rPr>
        <w:t>e</w:t>
      </w:r>
      <w:r w:rsidRPr="009B4EFE">
        <w:rPr>
          <w:rFonts w:cs="Arial"/>
        </w:rPr>
        <w:t xml:space="preserve"> a risk to the council as they may reduce funding below that assumed in the MTFS. Conversely there is equally an opportunity that additional resources are made available through this process.  The successful outcome of</w:t>
      </w:r>
      <w:r>
        <w:rPr>
          <w:rFonts w:cs="Arial"/>
        </w:rPr>
        <w:t xml:space="preserve"> the</w:t>
      </w:r>
      <w:r w:rsidRPr="009B4EFE">
        <w:rPr>
          <w:rFonts w:cs="Arial"/>
        </w:rPr>
        <w:t xml:space="preserve"> Lancashire business rate pilot bid presents one-off additional funding for Lancashire and gives the county council an opportunity to pilot increased business rates retention. </w:t>
      </w:r>
      <w:r>
        <w:rPr>
          <w:rFonts w:cs="Arial"/>
        </w:rPr>
        <w:t xml:space="preserve">This should enable the county council, districts, unitaries and fire authority to be well prepared for the implementation of the business rates retention scheme from 2020/21, although the </w:t>
      </w:r>
      <w:r w:rsidRPr="009B4EFE">
        <w:rPr>
          <w:rFonts w:cs="Arial"/>
        </w:rPr>
        <w:t xml:space="preserve">final details are not known at this stage. </w:t>
      </w:r>
    </w:p>
    <w:p w:rsidR="00B06504" w:rsidRPr="009B4EFE" w:rsidRDefault="009E0214" w:rsidP="00B06504">
      <w:pPr>
        <w:tabs>
          <w:tab w:val="left" w:pos="567"/>
          <w:tab w:val="left" w:pos="1134"/>
        </w:tabs>
        <w:spacing w:after="0"/>
        <w:rPr>
          <w:rFonts w:cs="Arial"/>
        </w:rPr>
      </w:pPr>
    </w:p>
    <w:p w:rsidR="00B06504" w:rsidRPr="009B4EFE" w:rsidRDefault="00A445D6" w:rsidP="00B06504">
      <w:pPr>
        <w:tabs>
          <w:tab w:val="left" w:pos="567"/>
          <w:tab w:val="left" w:pos="1134"/>
        </w:tabs>
        <w:spacing w:after="0"/>
        <w:rPr>
          <w:rFonts w:cs="Arial"/>
          <w:b/>
        </w:rPr>
      </w:pPr>
      <w:r w:rsidRPr="009B4EFE">
        <w:rPr>
          <w:rFonts w:cs="Arial"/>
          <w:b/>
        </w:rPr>
        <w:t>5.4 Children's Social Care</w:t>
      </w:r>
    </w:p>
    <w:p w:rsidR="00B06504" w:rsidRPr="009B4EFE" w:rsidRDefault="009E0214" w:rsidP="00B06504">
      <w:pPr>
        <w:tabs>
          <w:tab w:val="left" w:pos="567"/>
          <w:tab w:val="left" w:pos="1134"/>
        </w:tabs>
        <w:spacing w:after="0"/>
        <w:rPr>
          <w:rFonts w:cs="Arial"/>
          <w:b/>
        </w:rPr>
      </w:pPr>
    </w:p>
    <w:p w:rsidR="00B06504" w:rsidRPr="009B4EFE" w:rsidRDefault="00A445D6" w:rsidP="00B06504">
      <w:pPr>
        <w:tabs>
          <w:tab w:val="left" w:pos="567"/>
          <w:tab w:val="left" w:pos="1134"/>
        </w:tabs>
        <w:spacing w:after="0"/>
        <w:rPr>
          <w:rFonts w:cs="Arial"/>
        </w:rPr>
      </w:pPr>
      <w:r w:rsidRPr="009B4EFE">
        <w:rPr>
          <w:rFonts w:cs="Arial"/>
        </w:rPr>
        <w:t xml:space="preserve">Children's social care demand levels are forecast to continue to increase, particularly within agency residential placements, agency fostering placements and also special guardianship orders. Although the rate of growth is quite volatile, over recent months it has slowed down slightly. </w:t>
      </w:r>
    </w:p>
    <w:p w:rsidR="00B06504" w:rsidRPr="009B4EFE" w:rsidRDefault="009E0214" w:rsidP="00B06504">
      <w:pPr>
        <w:tabs>
          <w:tab w:val="left" w:pos="567"/>
          <w:tab w:val="left" w:pos="1134"/>
        </w:tabs>
        <w:spacing w:after="0"/>
        <w:rPr>
          <w:rFonts w:cs="Arial"/>
        </w:rPr>
      </w:pPr>
    </w:p>
    <w:p w:rsidR="00B06504" w:rsidRPr="009B4EFE" w:rsidRDefault="00A445D6" w:rsidP="00B06504">
      <w:pPr>
        <w:tabs>
          <w:tab w:val="left" w:pos="567"/>
          <w:tab w:val="left" w:pos="1134"/>
        </w:tabs>
        <w:spacing w:after="0"/>
        <w:rPr>
          <w:rFonts w:cs="Arial"/>
        </w:rPr>
      </w:pPr>
      <w:r w:rsidRPr="009B4EFE">
        <w:rPr>
          <w:rFonts w:cs="Arial"/>
        </w:rPr>
        <w:t xml:space="preserve">Significant additional budget was allocated to children's social support improvements and demand pressures over the past 3 years. An assumption within this MTFS is made that demand will plateau in future years, </w:t>
      </w:r>
      <w:r>
        <w:rPr>
          <w:rFonts w:cs="Arial"/>
        </w:rPr>
        <w:t>and</w:t>
      </w:r>
      <w:r w:rsidRPr="009B4EFE">
        <w:rPr>
          <w:rFonts w:cs="Arial"/>
        </w:rPr>
        <w:t xml:space="preserve"> a reducing demand increase has been built into future year's budget. </w:t>
      </w:r>
    </w:p>
    <w:p w:rsidR="00B06504" w:rsidRPr="005B5485" w:rsidRDefault="009E0214" w:rsidP="00B06504">
      <w:pPr>
        <w:tabs>
          <w:tab w:val="left" w:pos="567"/>
          <w:tab w:val="left" w:pos="1134"/>
        </w:tabs>
        <w:spacing w:after="0"/>
        <w:rPr>
          <w:rFonts w:cs="Arial"/>
          <w:highlight w:val="yellow"/>
        </w:rPr>
      </w:pPr>
    </w:p>
    <w:p w:rsidR="00B06504" w:rsidRPr="009B4EFE" w:rsidRDefault="00A445D6" w:rsidP="00B06504">
      <w:pPr>
        <w:tabs>
          <w:tab w:val="left" w:pos="567"/>
          <w:tab w:val="left" w:pos="1134"/>
        </w:tabs>
        <w:spacing w:after="0"/>
        <w:rPr>
          <w:rFonts w:cs="Arial"/>
          <w:b/>
        </w:rPr>
      </w:pPr>
      <w:r w:rsidRPr="009B4EFE">
        <w:rPr>
          <w:rFonts w:cs="Arial"/>
          <w:b/>
        </w:rPr>
        <w:t>5.5 Troubled Families Funding</w:t>
      </w:r>
    </w:p>
    <w:p w:rsidR="00B06504" w:rsidRPr="009B4EFE" w:rsidRDefault="009E0214" w:rsidP="00B06504">
      <w:pPr>
        <w:tabs>
          <w:tab w:val="left" w:pos="567"/>
          <w:tab w:val="left" w:pos="1134"/>
        </w:tabs>
        <w:spacing w:after="0"/>
        <w:rPr>
          <w:rFonts w:cs="Arial"/>
          <w:b/>
        </w:rPr>
      </w:pPr>
    </w:p>
    <w:p w:rsidR="00B06504" w:rsidRPr="009B4EFE" w:rsidRDefault="00A445D6" w:rsidP="00B06504">
      <w:pPr>
        <w:tabs>
          <w:tab w:val="left" w:pos="567"/>
          <w:tab w:val="left" w:pos="1134"/>
        </w:tabs>
        <w:spacing w:after="0"/>
        <w:rPr>
          <w:rFonts w:cs="Arial"/>
        </w:rPr>
      </w:pPr>
      <w:r w:rsidRPr="009B4EFE">
        <w:rPr>
          <w:rFonts w:cs="Arial"/>
        </w:rPr>
        <w:t xml:space="preserve">The county council currently receives funding towards working with troubled families. </w:t>
      </w:r>
      <w:r>
        <w:rPr>
          <w:rFonts w:cs="Arial"/>
        </w:rPr>
        <w:t xml:space="preserve">Where we have received written confirmation of troubled families funding this has been included in the MTFS. Post 2019/20 however, </w:t>
      </w:r>
      <w:r w:rsidRPr="009B4EFE">
        <w:rPr>
          <w:rFonts w:cs="Arial"/>
        </w:rPr>
        <w:t xml:space="preserve">there is no information available as to whether this funding will continue. It is assumed that funding levels will remain at 2019/20 levels. If the funding does cease this will result in a pressure on the budget of £2.1m. Given the lack of clarity we have discussed this with other Local Authorities in a similar position, as to the approach they are taking, and they have confirmed that they are also forecasting the funding to continue, but this will be closely monitored as announcements relating to funding are </w:t>
      </w:r>
      <w:r>
        <w:rPr>
          <w:rFonts w:cs="Arial"/>
        </w:rPr>
        <w:t xml:space="preserve">to be </w:t>
      </w:r>
      <w:r w:rsidRPr="009B4EFE">
        <w:rPr>
          <w:rFonts w:cs="Arial"/>
        </w:rPr>
        <w:t xml:space="preserve">made </w:t>
      </w:r>
      <w:r>
        <w:rPr>
          <w:rFonts w:cs="Arial"/>
        </w:rPr>
        <w:t>imminently</w:t>
      </w:r>
      <w:r w:rsidRPr="009B4EFE">
        <w:rPr>
          <w:rFonts w:cs="Arial"/>
        </w:rPr>
        <w:t xml:space="preserve"> and outcomes</w:t>
      </w:r>
      <w:r>
        <w:rPr>
          <w:rFonts w:cs="Arial"/>
        </w:rPr>
        <w:t xml:space="preserve"> will be </w:t>
      </w:r>
      <w:r w:rsidRPr="009B4EFE">
        <w:rPr>
          <w:rFonts w:cs="Arial"/>
        </w:rPr>
        <w:t xml:space="preserve">reflected in future MTFS reports. </w:t>
      </w:r>
    </w:p>
    <w:p w:rsidR="00236A1D" w:rsidRDefault="009E0214" w:rsidP="00B06504">
      <w:pPr>
        <w:tabs>
          <w:tab w:val="left" w:pos="567"/>
          <w:tab w:val="left" w:pos="1134"/>
        </w:tabs>
        <w:spacing w:after="0"/>
        <w:rPr>
          <w:rFonts w:cs="Arial"/>
          <w:highlight w:val="yellow"/>
        </w:rPr>
      </w:pPr>
    </w:p>
    <w:p w:rsidR="008036A2" w:rsidRDefault="009E0214" w:rsidP="00B06504">
      <w:pPr>
        <w:tabs>
          <w:tab w:val="left" w:pos="567"/>
          <w:tab w:val="left" w:pos="1134"/>
        </w:tabs>
        <w:spacing w:after="0"/>
        <w:rPr>
          <w:rFonts w:cs="Arial"/>
          <w:highlight w:val="yellow"/>
        </w:rPr>
      </w:pPr>
    </w:p>
    <w:p w:rsidR="008036A2" w:rsidRDefault="009E0214" w:rsidP="00B06504">
      <w:pPr>
        <w:tabs>
          <w:tab w:val="left" w:pos="567"/>
          <w:tab w:val="left" w:pos="1134"/>
        </w:tabs>
        <w:spacing w:after="0"/>
        <w:rPr>
          <w:rFonts w:cs="Arial"/>
          <w:highlight w:val="yellow"/>
        </w:rPr>
      </w:pPr>
    </w:p>
    <w:p w:rsidR="008036A2" w:rsidRDefault="009E0214" w:rsidP="00B06504">
      <w:pPr>
        <w:tabs>
          <w:tab w:val="left" w:pos="567"/>
          <w:tab w:val="left" w:pos="1134"/>
        </w:tabs>
        <w:spacing w:after="0"/>
        <w:rPr>
          <w:rFonts w:cs="Arial"/>
          <w:highlight w:val="yellow"/>
        </w:rPr>
      </w:pPr>
    </w:p>
    <w:p w:rsidR="008036A2" w:rsidRPr="005B5485" w:rsidRDefault="009E0214" w:rsidP="00B06504">
      <w:pPr>
        <w:tabs>
          <w:tab w:val="left" w:pos="567"/>
          <w:tab w:val="left" w:pos="1134"/>
        </w:tabs>
        <w:spacing w:after="0"/>
        <w:rPr>
          <w:rFonts w:cs="Arial"/>
          <w:highlight w:val="yellow"/>
        </w:rPr>
      </w:pPr>
    </w:p>
    <w:p w:rsidR="00236A1D" w:rsidRPr="00223490" w:rsidRDefault="00A445D6" w:rsidP="00B06504">
      <w:pPr>
        <w:tabs>
          <w:tab w:val="left" w:pos="567"/>
          <w:tab w:val="left" w:pos="1134"/>
        </w:tabs>
        <w:spacing w:after="0"/>
        <w:rPr>
          <w:rFonts w:cs="Arial"/>
          <w:b/>
        </w:rPr>
      </w:pPr>
      <w:r w:rsidRPr="00223490">
        <w:rPr>
          <w:rFonts w:cs="Arial"/>
          <w:b/>
        </w:rPr>
        <w:t>5.6 MTFS Assumptions and Scenario Analysis</w:t>
      </w:r>
    </w:p>
    <w:p w:rsidR="00B06504" w:rsidRPr="00223490" w:rsidRDefault="009E0214" w:rsidP="00B06504">
      <w:pPr>
        <w:tabs>
          <w:tab w:val="left" w:pos="567"/>
          <w:tab w:val="left" w:pos="1134"/>
        </w:tabs>
        <w:spacing w:after="0"/>
        <w:rPr>
          <w:rFonts w:cs="Arial"/>
          <w:b/>
        </w:rPr>
      </w:pPr>
    </w:p>
    <w:p w:rsidR="00A923E7" w:rsidRPr="00223490" w:rsidRDefault="00A445D6" w:rsidP="00B06504">
      <w:pPr>
        <w:tabs>
          <w:tab w:val="left" w:pos="567"/>
          <w:tab w:val="left" w:pos="1134"/>
        </w:tabs>
        <w:spacing w:after="0"/>
        <w:rPr>
          <w:rFonts w:cs="Arial"/>
        </w:rPr>
      </w:pPr>
      <w:r w:rsidRPr="00223490">
        <w:rPr>
          <w:rFonts w:cs="Arial"/>
        </w:rPr>
        <w:t xml:space="preserve">In preparing the MTFS a range of assumptions are made and to assess the level of risk inherent in the decisions being taken some of these have been stress tested against alternative scenarios. </w:t>
      </w:r>
    </w:p>
    <w:p w:rsidR="00A923E7" w:rsidRPr="005B5485" w:rsidRDefault="009E0214" w:rsidP="00B06504">
      <w:pPr>
        <w:tabs>
          <w:tab w:val="left" w:pos="567"/>
          <w:tab w:val="left" w:pos="1134"/>
        </w:tabs>
        <w:spacing w:after="0"/>
        <w:rPr>
          <w:rFonts w:cs="Arial"/>
          <w:highlight w:val="yellow"/>
        </w:rPr>
      </w:pPr>
    </w:p>
    <w:p w:rsidR="00C83BCC" w:rsidRPr="00FF57CF" w:rsidRDefault="00A445D6" w:rsidP="00B06504">
      <w:pPr>
        <w:tabs>
          <w:tab w:val="left" w:pos="567"/>
          <w:tab w:val="left" w:pos="1134"/>
        </w:tabs>
        <w:spacing w:after="0"/>
        <w:rPr>
          <w:rFonts w:cs="Arial"/>
        </w:rPr>
      </w:pPr>
      <w:r w:rsidRPr="00FF57CF">
        <w:rPr>
          <w:rFonts w:cs="Arial"/>
        </w:rPr>
        <w:t xml:space="preserve">The key assumption that has been analysed and tested relate to maintaining the additional social care funding announced by the Chancellor over the full period of the MTFS. </w:t>
      </w:r>
    </w:p>
    <w:p w:rsidR="008A56A5" w:rsidRPr="005B5485" w:rsidRDefault="009E0214" w:rsidP="00B06504">
      <w:pPr>
        <w:tabs>
          <w:tab w:val="left" w:pos="567"/>
          <w:tab w:val="left" w:pos="1134"/>
        </w:tabs>
        <w:spacing w:after="0"/>
        <w:rPr>
          <w:rFonts w:cs="Arial"/>
          <w:highlight w:val="yellow"/>
        </w:rPr>
      </w:pPr>
    </w:p>
    <w:p w:rsidR="008A56A5" w:rsidRPr="00FF57CF" w:rsidRDefault="00A445D6" w:rsidP="00B06504">
      <w:pPr>
        <w:tabs>
          <w:tab w:val="left" w:pos="567"/>
          <w:tab w:val="left" w:pos="1134"/>
        </w:tabs>
        <w:spacing w:after="0"/>
        <w:rPr>
          <w:rFonts w:cs="Arial"/>
        </w:rPr>
      </w:pPr>
      <w:r w:rsidRPr="00FF57CF">
        <w:rPr>
          <w:rFonts w:cs="Arial"/>
        </w:rPr>
        <w:t xml:space="preserve">Alternative scenarios reflect the impact of this funding being removed; </w:t>
      </w:r>
    </w:p>
    <w:p w:rsidR="008A56A5" w:rsidRPr="00FF57CF" w:rsidRDefault="00A445D6" w:rsidP="005F21F2">
      <w:pPr>
        <w:pStyle w:val="ListParagraph"/>
        <w:numPr>
          <w:ilvl w:val="0"/>
          <w:numId w:val="42"/>
        </w:numPr>
        <w:tabs>
          <w:tab w:val="left" w:pos="567"/>
          <w:tab w:val="left" w:pos="1134"/>
        </w:tabs>
        <w:spacing w:after="0"/>
        <w:rPr>
          <w:rFonts w:cs="Arial"/>
        </w:rPr>
      </w:pPr>
      <w:r w:rsidRPr="00FF57CF">
        <w:rPr>
          <w:rFonts w:cs="Arial"/>
        </w:rPr>
        <w:t>option "a"  shows the best case scenario assuming an addition</w:t>
      </w:r>
      <w:r>
        <w:rPr>
          <w:rFonts w:cs="Arial"/>
        </w:rPr>
        <w:t>al</w:t>
      </w:r>
      <w:r w:rsidRPr="00FF57CF">
        <w:rPr>
          <w:rFonts w:cs="Arial"/>
        </w:rPr>
        <w:t xml:space="preserve"> £2m reduction on employer pension contributions</w:t>
      </w:r>
    </w:p>
    <w:p w:rsidR="008A56A5" w:rsidRPr="00FF57CF" w:rsidRDefault="00A445D6" w:rsidP="005F21F2">
      <w:pPr>
        <w:pStyle w:val="ListParagraph"/>
        <w:numPr>
          <w:ilvl w:val="0"/>
          <w:numId w:val="42"/>
        </w:numPr>
        <w:tabs>
          <w:tab w:val="left" w:pos="567"/>
          <w:tab w:val="left" w:pos="1134"/>
        </w:tabs>
        <w:spacing w:after="0"/>
        <w:rPr>
          <w:rFonts w:cs="Arial"/>
        </w:rPr>
      </w:pPr>
      <w:r w:rsidRPr="00FF57CF">
        <w:rPr>
          <w:rFonts w:cs="Arial"/>
        </w:rPr>
        <w:t>option "b" shows the position if the winter pressures funding was removed</w:t>
      </w:r>
      <w:r>
        <w:rPr>
          <w:rFonts w:cs="Arial"/>
        </w:rPr>
        <w:t xml:space="preserve"> post 2019/20</w:t>
      </w:r>
      <w:r w:rsidRPr="00FF57CF">
        <w:rPr>
          <w:rFonts w:cs="Arial"/>
        </w:rPr>
        <w:t>, and</w:t>
      </w:r>
    </w:p>
    <w:p w:rsidR="008A56A5" w:rsidRDefault="00A445D6" w:rsidP="005F21F2">
      <w:pPr>
        <w:pStyle w:val="ListParagraph"/>
        <w:numPr>
          <w:ilvl w:val="0"/>
          <w:numId w:val="42"/>
        </w:numPr>
        <w:tabs>
          <w:tab w:val="left" w:pos="567"/>
          <w:tab w:val="left" w:pos="1134"/>
        </w:tabs>
        <w:spacing w:after="0"/>
        <w:rPr>
          <w:rFonts w:cs="Arial"/>
        </w:rPr>
      </w:pPr>
      <w:r w:rsidRPr="00FF57CF">
        <w:rPr>
          <w:rFonts w:cs="Arial"/>
        </w:rPr>
        <w:t>option "c" presents the position if all the additional social care monies were removed</w:t>
      </w:r>
      <w:r>
        <w:rPr>
          <w:rFonts w:cs="Arial"/>
        </w:rPr>
        <w:t xml:space="preserve"> post 2019/20.</w:t>
      </w:r>
      <w:r w:rsidRPr="00FF57CF">
        <w:rPr>
          <w:rFonts w:cs="Arial"/>
        </w:rPr>
        <w:t xml:space="preserve">  </w:t>
      </w:r>
    </w:p>
    <w:p w:rsidR="00B40F99" w:rsidRPr="00FF57CF" w:rsidRDefault="00A445D6" w:rsidP="005F21F2">
      <w:pPr>
        <w:pStyle w:val="ListParagraph"/>
        <w:numPr>
          <w:ilvl w:val="0"/>
          <w:numId w:val="42"/>
        </w:numPr>
        <w:tabs>
          <w:tab w:val="left" w:pos="567"/>
          <w:tab w:val="left" w:pos="1134"/>
        </w:tabs>
        <w:spacing w:after="0"/>
        <w:rPr>
          <w:rFonts w:cs="Arial"/>
        </w:rPr>
      </w:pPr>
      <w:r>
        <w:rPr>
          <w:rFonts w:cs="Arial"/>
        </w:rPr>
        <w:t xml:space="preserve">option "d" presents the position if all of the savings that are subject to consultation (December Cabinet – Appendix C) are not ultimately agreed for implementation by Cabinet. </w:t>
      </w:r>
    </w:p>
    <w:p w:rsidR="008A56A5" w:rsidRPr="005B5485" w:rsidRDefault="009E0214" w:rsidP="005F21F2">
      <w:pPr>
        <w:pStyle w:val="ListParagraph"/>
        <w:tabs>
          <w:tab w:val="left" w:pos="567"/>
          <w:tab w:val="left" w:pos="1134"/>
        </w:tabs>
        <w:spacing w:after="0"/>
        <w:ind w:left="502"/>
        <w:rPr>
          <w:rFonts w:cs="Arial"/>
          <w:highlight w:val="yellow"/>
        </w:rPr>
      </w:pPr>
    </w:p>
    <w:p w:rsidR="00FF3EAF" w:rsidRDefault="00A445D6" w:rsidP="00FF3EAF">
      <w:pPr>
        <w:tabs>
          <w:tab w:val="left" w:pos="567"/>
          <w:tab w:val="left" w:pos="1134"/>
        </w:tabs>
        <w:spacing w:after="0"/>
        <w:ind w:left="142"/>
        <w:rPr>
          <w:rFonts w:cs="Arial"/>
        </w:rPr>
      </w:pPr>
      <w:r w:rsidRPr="00FF57CF">
        <w:rPr>
          <w:rFonts w:cs="Arial"/>
        </w:rPr>
        <w:t xml:space="preserve">Option "a" demonstrates an improved position from the MTFS presented in this report and show that the council would have sufficient reserves to manage through to 2023/24 when further saving would need to be made. Options "b" and "c" show a less favourable position that the MTFS and would see reserves running out during 2022/23. </w:t>
      </w:r>
      <w:r>
        <w:rPr>
          <w:rFonts w:cs="Arial"/>
        </w:rPr>
        <w:t xml:space="preserve">Option "d" presents a less favourable position to the MTFS presented in this report and option "a", however it shows that there are sufficient reserves to support the projected budget gap in future years, with reserves running out during 2022/23. </w:t>
      </w:r>
    </w:p>
    <w:p w:rsidR="00FF3EAF" w:rsidRPr="00FF57CF" w:rsidRDefault="009E0214" w:rsidP="00FF3EAF">
      <w:pPr>
        <w:tabs>
          <w:tab w:val="left" w:pos="567"/>
          <w:tab w:val="left" w:pos="1134"/>
        </w:tabs>
        <w:spacing w:after="0"/>
        <w:ind w:left="142"/>
        <w:rPr>
          <w:rFonts w:cs="Arial"/>
        </w:rPr>
      </w:pPr>
    </w:p>
    <w:p w:rsidR="00B37C68" w:rsidRDefault="00A445D6" w:rsidP="005F21F2">
      <w:pPr>
        <w:tabs>
          <w:tab w:val="left" w:pos="567"/>
          <w:tab w:val="left" w:pos="1134"/>
        </w:tabs>
        <w:spacing w:after="0"/>
        <w:ind w:left="142"/>
        <w:rPr>
          <w:rFonts w:cs="Arial"/>
        </w:rPr>
      </w:pPr>
      <w:r w:rsidRPr="00FF57CF">
        <w:rPr>
          <w:rFonts w:cs="Arial"/>
        </w:rPr>
        <w:t>This stress testing gives confidence that the council can continue to live within its means for a number of years even in adverse circumstances. This does not however diminish or negate the need to make further savings but does demonstrate that the council continues to have sufficient resilience to deliver them in a measured and structured way.</w:t>
      </w:r>
    </w:p>
    <w:p w:rsidR="00B40F99"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8036A2" w:rsidRDefault="009E0214" w:rsidP="005F21F2">
      <w:pPr>
        <w:tabs>
          <w:tab w:val="left" w:pos="567"/>
          <w:tab w:val="left" w:pos="1134"/>
        </w:tabs>
        <w:spacing w:after="0"/>
        <w:ind w:left="142"/>
        <w:rPr>
          <w:rFonts w:cs="Arial"/>
        </w:rPr>
      </w:pPr>
    </w:p>
    <w:p w:rsidR="004F3838" w:rsidRDefault="00A445D6" w:rsidP="00B06504">
      <w:pPr>
        <w:tabs>
          <w:tab w:val="left" w:pos="567"/>
          <w:tab w:val="left" w:pos="1134"/>
        </w:tabs>
        <w:spacing w:after="0"/>
        <w:rPr>
          <w:rFonts w:cs="Arial"/>
          <w:b/>
          <w:i/>
          <w:u w:val="single"/>
        </w:rPr>
      </w:pPr>
      <w:r w:rsidRPr="00FF57CF">
        <w:rPr>
          <w:rFonts w:cs="Arial"/>
          <w:b/>
          <w:i/>
          <w:u w:val="single"/>
        </w:rPr>
        <w:t>Option a)</w:t>
      </w:r>
    </w:p>
    <w:p w:rsidR="002C3234" w:rsidRDefault="009E0214" w:rsidP="00B06504">
      <w:pPr>
        <w:tabs>
          <w:tab w:val="left" w:pos="567"/>
          <w:tab w:val="left" w:pos="1134"/>
        </w:tabs>
        <w:spacing w:after="0"/>
        <w:rPr>
          <w:rFonts w:cs="Arial"/>
          <w:b/>
          <w:i/>
          <w:u w:val="single"/>
        </w:rPr>
      </w:pPr>
    </w:p>
    <w:tbl>
      <w:tblPr>
        <w:tblW w:w="9346" w:type="dxa"/>
        <w:tblLook w:val="04A0" w:firstRow="1" w:lastRow="0" w:firstColumn="1" w:lastColumn="0" w:noHBand="0" w:noVBand="1"/>
      </w:tblPr>
      <w:tblGrid>
        <w:gridCol w:w="4810"/>
        <w:gridCol w:w="1134"/>
        <w:gridCol w:w="1134"/>
        <w:gridCol w:w="1134"/>
        <w:gridCol w:w="1134"/>
      </w:tblGrid>
      <w:tr w:rsidR="00F0025F" w:rsidTr="00A445D6">
        <w:trPr>
          <w:trHeight w:val="48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Aggregated Funding Gap</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r>
      <w:tr w:rsidR="00F0025F" w:rsidTr="00A445D6">
        <w:trPr>
          <w:trHeight w:val="34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2019/20 (£m)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r>
      <w:tr w:rsidR="00F0025F" w:rsidTr="00A445D6">
        <w:trPr>
          <w:trHeight w:val="34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2020/21 (£m)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14.930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14.930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14.930</w:t>
            </w:r>
          </w:p>
        </w:tc>
      </w:tr>
      <w:tr w:rsidR="00F0025F" w:rsidTr="00A445D6">
        <w:trPr>
          <w:trHeight w:val="43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2021/22 (£m)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5.457</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5.457</w:t>
            </w:r>
          </w:p>
        </w:tc>
      </w:tr>
      <w:tr w:rsidR="00F0025F" w:rsidTr="00A445D6">
        <w:trPr>
          <w:trHeight w:val="40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2022/23 (£m)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11.376</w:t>
            </w:r>
          </w:p>
        </w:tc>
      </w:tr>
      <w:tr w:rsidR="00F0025F" w:rsidTr="00A445D6">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xml:space="preserve">Total </w:t>
            </w:r>
            <w:r>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13.446</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28.376</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33.833</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45.209</w:t>
            </w:r>
          </w:p>
        </w:tc>
      </w:tr>
      <w:tr w:rsidR="00F0025F" w:rsidTr="00A445D6">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r>
      <w:tr w:rsidR="00F0025F" w:rsidTr="00A445D6">
        <w:trPr>
          <w:trHeight w:val="37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Previous position (£m)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14.610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28.790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34.418</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46.090</w:t>
            </w:r>
          </w:p>
        </w:tc>
      </w:tr>
      <w:tr w:rsidR="00F0025F" w:rsidTr="00A445D6">
        <w:trPr>
          <w:trHeight w:val="36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Variance (£m)</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-1.164</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-0.414</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-0.585</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-0.882</w:t>
            </w:r>
          </w:p>
        </w:tc>
      </w:tr>
    </w:tbl>
    <w:p w:rsidR="004F3838" w:rsidRPr="00FF57CF" w:rsidRDefault="009E0214" w:rsidP="00B06504">
      <w:pPr>
        <w:tabs>
          <w:tab w:val="left" w:pos="567"/>
          <w:tab w:val="left" w:pos="1134"/>
        </w:tabs>
        <w:spacing w:after="0"/>
        <w:rPr>
          <w:rFonts w:cs="Arial"/>
          <w:b/>
          <w:i/>
          <w:u w:val="single"/>
        </w:rPr>
      </w:pPr>
    </w:p>
    <w:p w:rsidR="004F3838" w:rsidRDefault="00A445D6" w:rsidP="00B06504">
      <w:pPr>
        <w:tabs>
          <w:tab w:val="left" w:pos="567"/>
          <w:tab w:val="left" w:pos="1134"/>
        </w:tabs>
        <w:spacing w:after="0"/>
        <w:rPr>
          <w:rFonts w:cs="Arial"/>
          <w:b/>
          <w:i/>
        </w:rPr>
      </w:pPr>
      <w:r w:rsidRPr="00FF57CF">
        <w:rPr>
          <w:rFonts w:cs="Arial"/>
          <w:b/>
          <w:i/>
        </w:rPr>
        <w:t>Transitional Reserve Funding:</w:t>
      </w:r>
    </w:p>
    <w:p w:rsidR="002C3234" w:rsidRDefault="009E0214" w:rsidP="00B06504">
      <w:pPr>
        <w:tabs>
          <w:tab w:val="left" w:pos="567"/>
          <w:tab w:val="left" w:pos="1134"/>
        </w:tabs>
        <w:spacing w:after="0"/>
        <w:rPr>
          <w:rFonts w:cs="Arial"/>
          <w:b/>
          <w:i/>
        </w:rPr>
      </w:pPr>
    </w:p>
    <w:tbl>
      <w:tblPr>
        <w:tblW w:w="9346" w:type="dxa"/>
        <w:tblLook w:val="04A0" w:firstRow="1" w:lastRow="0" w:firstColumn="1" w:lastColumn="0" w:noHBand="0" w:noVBand="1"/>
      </w:tblPr>
      <w:tblGrid>
        <w:gridCol w:w="4810"/>
        <w:gridCol w:w="1134"/>
        <w:gridCol w:w="1134"/>
        <w:gridCol w:w="1134"/>
        <w:gridCol w:w="1134"/>
      </w:tblGrid>
      <w:tr w:rsidR="00F0025F" w:rsidTr="00A445D6">
        <w:trPr>
          <w:trHeight w:val="33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2019/20</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2020/21</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2021/22</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2022/23</w:t>
            </w:r>
          </w:p>
        </w:tc>
      </w:tr>
      <w:tr w:rsidR="00F0025F" w:rsidTr="00A445D6">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Opening Balance</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139.271</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125.388</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96.818</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62.985</w:t>
            </w:r>
          </w:p>
        </w:tc>
      </w:tr>
      <w:tr w:rsidR="00F0025F" w:rsidTr="00A445D6">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Gap funding</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28.376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33.833</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45.209</w:t>
            </w:r>
          </w:p>
        </w:tc>
      </w:tr>
      <w:tr w:rsidR="00F0025F" w:rsidTr="00A445D6">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Commitments</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0.437</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0.194</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r>
      <w:tr w:rsidR="00F0025F" w:rsidTr="00A445D6">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Closing balance</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125.388</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96.818</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62.985</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17.776</w:t>
            </w:r>
          </w:p>
        </w:tc>
      </w:tr>
    </w:tbl>
    <w:p w:rsidR="00FF3EAF" w:rsidRDefault="009E0214" w:rsidP="00B37C68">
      <w:pPr>
        <w:tabs>
          <w:tab w:val="left" w:pos="567"/>
          <w:tab w:val="left" w:pos="1134"/>
        </w:tabs>
        <w:spacing w:after="0"/>
        <w:rPr>
          <w:rFonts w:cs="Arial"/>
          <w:b/>
          <w:i/>
        </w:rPr>
      </w:pPr>
    </w:p>
    <w:p w:rsidR="00B37C68" w:rsidRDefault="00A445D6" w:rsidP="00B37C68">
      <w:pPr>
        <w:tabs>
          <w:tab w:val="left" w:pos="567"/>
          <w:tab w:val="left" w:pos="1134"/>
        </w:tabs>
        <w:spacing w:after="0"/>
        <w:rPr>
          <w:rFonts w:cs="Arial"/>
          <w:b/>
          <w:i/>
          <w:u w:val="single"/>
        </w:rPr>
      </w:pPr>
      <w:r w:rsidRPr="00FF57CF">
        <w:rPr>
          <w:rFonts w:cs="Arial"/>
          <w:b/>
          <w:i/>
          <w:u w:val="single"/>
        </w:rPr>
        <w:t>Option b)</w:t>
      </w:r>
    </w:p>
    <w:p w:rsidR="002C3234" w:rsidRDefault="009E0214" w:rsidP="00B37C68">
      <w:pPr>
        <w:tabs>
          <w:tab w:val="left" w:pos="567"/>
          <w:tab w:val="left" w:pos="1134"/>
        </w:tabs>
        <w:spacing w:after="0"/>
        <w:rPr>
          <w:rFonts w:cs="Arial"/>
          <w:b/>
          <w:i/>
          <w:u w:val="single"/>
        </w:rPr>
      </w:pPr>
    </w:p>
    <w:tbl>
      <w:tblPr>
        <w:tblW w:w="9346" w:type="dxa"/>
        <w:tblLook w:val="04A0" w:firstRow="1" w:lastRow="0" w:firstColumn="1" w:lastColumn="0" w:noHBand="0" w:noVBand="1"/>
      </w:tblPr>
      <w:tblGrid>
        <w:gridCol w:w="5093"/>
        <w:gridCol w:w="1063"/>
        <w:gridCol w:w="1063"/>
        <w:gridCol w:w="1063"/>
        <w:gridCol w:w="1064"/>
      </w:tblGrid>
      <w:tr w:rsidR="00F0025F" w:rsidTr="002C3234">
        <w:trPr>
          <w:trHeight w:val="480"/>
        </w:trPr>
        <w:tc>
          <w:tcPr>
            <w:tcW w:w="5093"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Aggregated Funding Gap</w:t>
            </w:r>
          </w:p>
        </w:tc>
        <w:tc>
          <w:tcPr>
            <w:tcW w:w="1063"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063"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063"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06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r>
      <w:tr w:rsidR="00F0025F" w:rsidTr="002C3234">
        <w:trPr>
          <w:trHeight w:val="3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2019/20 (£m)</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06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r>
      <w:tr w:rsidR="00F0025F" w:rsidTr="002C3234">
        <w:trPr>
          <w:trHeight w:val="34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2020/21 (£m)</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22.448</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22.448</w:t>
            </w:r>
          </w:p>
        </w:tc>
        <w:tc>
          <w:tcPr>
            <w:tcW w:w="106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22.448</w:t>
            </w:r>
          </w:p>
        </w:tc>
      </w:tr>
      <w:tr w:rsidR="00F0025F" w:rsidTr="002C3234">
        <w:trPr>
          <w:trHeight w:val="43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2021/22 (£m)</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5.457</w:t>
            </w:r>
          </w:p>
        </w:tc>
        <w:tc>
          <w:tcPr>
            <w:tcW w:w="106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5.457</w:t>
            </w:r>
          </w:p>
        </w:tc>
      </w:tr>
      <w:tr w:rsidR="00F0025F" w:rsidTr="002C3234">
        <w:trPr>
          <w:trHeight w:val="40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2022/23 (£m)</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11.376</w:t>
            </w:r>
          </w:p>
        </w:tc>
      </w:tr>
      <w:tr w:rsidR="00F0025F" w:rsidTr="002C3234">
        <w:trPr>
          <w:trHeight w:val="330"/>
        </w:trPr>
        <w:tc>
          <w:tcPr>
            <w:tcW w:w="5093"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Total (£m)</w:t>
            </w:r>
          </w:p>
        </w:tc>
        <w:tc>
          <w:tcPr>
            <w:tcW w:w="1063"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13.446</w:t>
            </w:r>
          </w:p>
        </w:tc>
        <w:tc>
          <w:tcPr>
            <w:tcW w:w="1063"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35.894</w:t>
            </w:r>
          </w:p>
        </w:tc>
        <w:tc>
          <w:tcPr>
            <w:tcW w:w="1063"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41.351</w:t>
            </w:r>
          </w:p>
        </w:tc>
        <w:tc>
          <w:tcPr>
            <w:tcW w:w="106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52.727</w:t>
            </w:r>
          </w:p>
        </w:tc>
      </w:tr>
      <w:tr w:rsidR="00F0025F" w:rsidTr="002C3234">
        <w:trPr>
          <w:trHeight w:val="330"/>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6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r>
      <w:tr w:rsidR="00F0025F" w:rsidTr="002C3234">
        <w:trPr>
          <w:trHeight w:val="375"/>
        </w:trPr>
        <w:tc>
          <w:tcPr>
            <w:tcW w:w="5093"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Previous position (£m)</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14.610</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28.790</w:t>
            </w:r>
          </w:p>
        </w:tc>
        <w:tc>
          <w:tcPr>
            <w:tcW w:w="1063"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34.418</w:t>
            </w:r>
          </w:p>
        </w:tc>
        <w:tc>
          <w:tcPr>
            <w:tcW w:w="106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46.090</w:t>
            </w:r>
          </w:p>
        </w:tc>
      </w:tr>
      <w:tr w:rsidR="00F0025F" w:rsidTr="002C3234">
        <w:trPr>
          <w:trHeight w:val="360"/>
        </w:trPr>
        <w:tc>
          <w:tcPr>
            <w:tcW w:w="5093"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Variance (£m)</w:t>
            </w:r>
          </w:p>
        </w:tc>
        <w:tc>
          <w:tcPr>
            <w:tcW w:w="1063"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-1.164</w:t>
            </w:r>
          </w:p>
        </w:tc>
        <w:tc>
          <w:tcPr>
            <w:tcW w:w="1063"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7.104</w:t>
            </w:r>
          </w:p>
        </w:tc>
        <w:tc>
          <w:tcPr>
            <w:tcW w:w="1063"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6.933</w:t>
            </w:r>
          </w:p>
        </w:tc>
        <w:tc>
          <w:tcPr>
            <w:tcW w:w="106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6.636</w:t>
            </w:r>
          </w:p>
        </w:tc>
      </w:tr>
    </w:tbl>
    <w:p w:rsidR="00E92259" w:rsidRDefault="009E0214" w:rsidP="00B06504">
      <w:pPr>
        <w:tabs>
          <w:tab w:val="left" w:pos="567"/>
          <w:tab w:val="left" w:pos="1134"/>
        </w:tabs>
        <w:spacing w:after="0"/>
        <w:rPr>
          <w:rFonts w:cs="Arial"/>
          <w:highlight w:val="yellow"/>
        </w:rPr>
      </w:pPr>
    </w:p>
    <w:p w:rsidR="007446EE" w:rsidRDefault="00A445D6" w:rsidP="007446EE">
      <w:pPr>
        <w:tabs>
          <w:tab w:val="left" w:pos="567"/>
          <w:tab w:val="left" w:pos="1134"/>
        </w:tabs>
        <w:spacing w:after="0"/>
        <w:rPr>
          <w:rFonts w:cs="Arial"/>
          <w:b/>
          <w:i/>
        </w:rPr>
      </w:pPr>
      <w:r w:rsidRPr="00FF57CF">
        <w:rPr>
          <w:rFonts w:cs="Arial"/>
          <w:b/>
          <w:i/>
        </w:rPr>
        <w:t>Transitional Reserve funding:</w:t>
      </w:r>
    </w:p>
    <w:p w:rsidR="002C3234" w:rsidRDefault="009E0214" w:rsidP="007446EE">
      <w:pPr>
        <w:tabs>
          <w:tab w:val="left" w:pos="567"/>
          <w:tab w:val="left" w:pos="1134"/>
        </w:tabs>
        <w:spacing w:after="0"/>
        <w:rPr>
          <w:rFonts w:cs="Arial"/>
          <w:b/>
          <w:i/>
        </w:rPr>
      </w:pPr>
    </w:p>
    <w:tbl>
      <w:tblPr>
        <w:tblW w:w="9346" w:type="dxa"/>
        <w:tblLook w:val="04A0" w:firstRow="1" w:lastRow="0" w:firstColumn="1" w:lastColumn="0" w:noHBand="0" w:noVBand="1"/>
      </w:tblPr>
      <w:tblGrid>
        <w:gridCol w:w="4810"/>
        <w:gridCol w:w="1134"/>
        <w:gridCol w:w="1134"/>
        <w:gridCol w:w="1134"/>
        <w:gridCol w:w="1134"/>
      </w:tblGrid>
      <w:tr w:rsidR="00F0025F" w:rsidTr="002C3234">
        <w:trPr>
          <w:trHeight w:val="33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2019/20</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2020/21</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2021/22</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2022/23</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Opening Balance</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139.271</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125.388</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89.300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47.949</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Gap funding</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35.894</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41.351</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52.727</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Commitments</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0.437</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0.194</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Closing balance</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125.388</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89.300</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47.949</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-4.778</w:t>
            </w:r>
          </w:p>
        </w:tc>
      </w:tr>
    </w:tbl>
    <w:p w:rsidR="002C3234" w:rsidRDefault="009E0214" w:rsidP="00B06504">
      <w:pPr>
        <w:tabs>
          <w:tab w:val="left" w:pos="567"/>
          <w:tab w:val="left" w:pos="1134"/>
        </w:tabs>
        <w:spacing w:after="0"/>
        <w:rPr>
          <w:rFonts w:cs="Arial"/>
          <w:b/>
          <w:i/>
          <w:u w:val="single"/>
        </w:rPr>
      </w:pPr>
    </w:p>
    <w:p w:rsidR="00B06504" w:rsidRDefault="00A445D6" w:rsidP="00B06504">
      <w:pPr>
        <w:tabs>
          <w:tab w:val="left" w:pos="567"/>
          <w:tab w:val="left" w:pos="1134"/>
        </w:tabs>
        <w:spacing w:after="0"/>
        <w:rPr>
          <w:rFonts w:cs="Arial"/>
          <w:b/>
          <w:i/>
          <w:u w:val="single"/>
        </w:rPr>
      </w:pPr>
      <w:r w:rsidRPr="00FF57CF">
        <w:rPr>
          <w:rFonts w:cs="Arial"/>
          <w:b/>
          <w:i/>
          <w:u w:val="single"/>
        </w:rPr>
        <w:t>Option c)</w:t>
      </w:r>
    </w:p>
    <w:p w:rsidR="002C3234" w:rsidRDefault="009E0214" w:rsidP="00B06504">
      <w:pPr>
        <w:tabs>
          <w:tab w:val="left" w:pos="567"/>
          <w:tab w:val="left" w:pos="1134"/>
        </w:tabs>
        <w:spacing w:after="0"/>
        <w:rPr>
          <w:rFonts w:cs="Arial"/>
          <w:b/>
          <w:i/>
          <w:u w:val="single"/>
        </w:rPr>
      </w:pPr>
    </w:p>
    <w:tbl>
      <w:tblPr>
        <w:tblW w:w="9346" w:type="dxa"/>
        <w:tblLook w:val="04A0" w:firstRow="1" w:lastRow="0" w:firstColumn="1" w:lastColumn="0" w:noHBand="0" w:noVBand="1"/>
      </w:tblPr>
      <w:tblGrid>
        <w:gridCol w:w="4952"/>
        <w:gridCol w:w="1098"/>
        <w:gridCol w:w="1099"/>
        <w:gridCol w:w="1098"/>
        <w:gridCol w:w="1099"/>
      </w:tblGrid>
      <w:tr w:rsidR="00F0025F" w:rsidTr="002C3234">
        <w:trPr>
          <w:trHeight w:val="480"/>
        </w:trPr>
        <w:tc>
          <w:tcPr>
            <w:tcW w:w="495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Aggregated Funding Gap</w:t>
            </w:r>
          </w:p>
        </w:tc>
        <w:tc>
          <w:tcPr>
            <w:tcW w:w="1098"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099"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098"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c>
          <w:tcPr>
            <w:tcW w:w="1099"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 </w:t>
            </w:r>
          </w:p>
        </w:tc>
      </w:tr>
      <w:tr w:rsidR="00F0025F" w:rsidTr="002C3234">
        <w:trPr>
          <w:trHeight w:val="345"/>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2019/20 (£m)</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r>
      <w:tr w:rsidR="00F0025F" w:rsidTr="002C3234">
        <w:trPr>
          <w:trHeight w:val="345"/>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2020/21 (£m)</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31.875</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31.875</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31.875</w:t>
            </w:r>
          </w:p>
        </w:tc>
      </w:tr>
      <w:tr w:rsidR="00F0025F" w:rsidTr="002C3234">
        <w:trPr>
          <w:trHeight w:val="435"/>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2021/22 (£m)</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5.457</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5.457</w:t>
            </w:r>
          </w:p>
        </w:tc>
      </w:tr>
      <w:tr w:rsidR="00F0025F" w:rsidTr="002C3234">
        <w:trPr>
          <w:trHeight w:val="405"/>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2022/23 (£m)</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11.376</w:t>
            </w:r>
          </w:p>
        </w:tc>
      </w:tr>
      <w:tr w:rsidR="00F0025F" w:rsidTr="002C3234">
        <w:trPr>
          <w:trHeight w:val="330"/>
        </w:trPr>
        <w:tc>
          <w:tcPr>
            <w:tcW w:w="4952"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Total (£m)</w:t>
            </w:r>
          </w:p>
        </w:tc>
        <w:tc>
          <w:tcPr>
            <w:tcW w:w="1098"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13.446</w:t>
            </w:r>
          </w:p>
        </w:tc>
        <w:tc>
          <w:tcPr>
            <w:tcW w:w="109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45.321</w:t>
            </w:r>
          </w:p>
        </w:tc>
        <w:tc>
          <w:tcPr>
            <w:tcW w:w="1098"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50.778</w:t>
            </w:r>
          </w:p>
        </w:tc>
        <w:tc>
          <w:tcPr>
            <w:tcW w:w="109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62.154</w:t>
            </w:r>
          </w:p>
        </w:tc>
      </w:tr>
      <w:tr w:rsidR="00F0025F" w:rsidTr="002C3234">
        <w:trPr>
          <w:trHeight w:val="330"/>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 </w:t>
            </w:r>
          </w:p>
        </w:tc>
      </w:tr>
      <w:tr w:rsidR="00F0025F" w:rsidTr="002C3234">
        <w:trPr>
          <w:trHeight w:val="375"/>
        </w:trPr>
        <w:tc>
          <w:tcPr>
            <w:tcW w:w="4952"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Previous position (£m)</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14.610</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28.790</w:t>
            </w:r>
          </w:p>
        </w:tc>
        <w:tc>
          <w:tcPr>
            <w:tcW w:w="1098"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34.418</w:t>
            </w:r>
          </w:p>
        </w:tc>
        <w:tc>
          <w:tcPr>
            <w:tcW w:w="1099"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46.090</w:t>
            </w:r>
          </w:p>
        </w:tc>
      </w:tr>
      <w:tr w:rsidR="00F0025F" w:rsidTr="002C3234">
        <w:trPr>
          <w:trHeight w:val="360"/>
        </w:trPr>
        <w:tc>
          <w:tcPr>
            <w:tcW w:w="4952"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Variance (£m)</w:t>
            </w:r>
          </w:p>
        </w:tc>
        <w:tc>
          <w:tcPr>
            <w:tcW w:w="1098"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-1.164</w:t>
            </w:r>
          </w:p>
        </w:tc>
        <w:tc>
          <w:tcPr>
            <w:tcW w:w="109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16.531</w:t>
            </w:r>
          </w:p>
        </w:tc>
        <w:tc>
          <w:tcPr>
            <w:tcW w:w="1098"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16.360</w:t>
            </w:r>
          </w:p>
        </w:tc>
        <w:tc>
          <w:tcPr>
            <w:tcW w:w="1099"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16.063</w:t>
            </w:r>
          </w:p>
        </w:tc>
      </w:tr>
    </w:tbl>
    <w:p w:rsidR="004F3838" w:rsidRPr="005B5485" w:rsidRDefault="009E0214" w:rsidP="004F3838">
      <w:pPr>
        <w:tabs>
          <w:tab w:val="left" w:pos="567"/>
          <w:tab w:val="left" w:pos="1134"/>
        </w:tabs>
        <w:spacing w:after="0"/>
        <w:rPr>
          <w:rFonts w:cs="Arial"/>
          <w:b/>
          <w:i/>
          <w:highlight w:val="yellow"/>
        </w:rPr>
      </w:pPr>
    </w:p>
    <w:p w:rsidR="004F3838" w:rsidRPr="00FF57CF" w:rsidRDefault="00A445D6" w:rsidP="004F3838">
      <w:pPr>
        <w:tabs>
          <w:tab w:val="left" w:pos="567"/>
          <w:tab w:val="left" w:pos="1134"/>
        </w:tabs>
        <w:spacing w:after="0"/>
        <w:rPr>
          <w:rFonts w:cs="Arial"/>
          <w:b/>
          <w:i/>
        </w:rPr>
      </w:pPr>
      <w:r w:rsidRPr="00FF57CF">
        <w:rPr>
          <w:rFonts w:cs="Arial"/>
          <w:b/>
          <w:i/>
        </w:rPr>
        <w:t>Transitional Reserve funding:</w:t>
      </w:r>
    </w:p>
    <w:p w:rsidR="004F3838" w:rsidRPr="005B5485" w:rsidRDefault="009E0214" w:rsidP="004F3838">
      <w:pPr>
        <w:tabs>
          <w:tab w:val="left" w:pos="567"/>
          <w:tab w:val="left" w:pos="1134"/>
        </w:tabs>
        <w:spacing w:after="0"/>
        <w:rPr>
          <w:rFonts w:cs="Arial"/>
          <w:highlight w:val="yellow"/>
        </w:rPr>
      </w:pPr>
    </w:p>
    <w:tbl>
      <w:tblPr>
        <w:tblW w:w="9346" w:type="dxa"/>
        <w:tblLook w:val="04A0" w:firstRow="1" w:lastRow="0" w:firstColumn="1" w:lastColumn="0" w:noHBand="0" w:noVBand="1"/>
      </w:tblPr>
      <w:tblGrid>
        <w:gridCol w:w="4810"/>
        <w:gridCol w:w="1134"/>
        <w:gridCol w:w="1134"/>
        <w:gridCol w:w="1134"/>
        <w:gridCol w:w="1134"/>
      </w:tblGrid>
      <w:tr w:rsidR="00F0025F" w:rsidTr="002C3234">
        <w:trPr>
          <w:trHeight w:val="33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2019/20</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2020/21</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2021/22</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2022/23</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Opening Balance</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139.271</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125.388</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79.873</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29.095</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Gap funding</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13.446</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45.321</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50.778</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62.154</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Commitments</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0.437</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0.194</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c>
          <w:tcPr>
            <w:tcW w:w="1134" w:type="dxa"/>
            <w:tcBorders>
              <w:top w:val="nil"/>
              <w:left w:val="nil"/>
              <w:bottom w:val="single" w:sz="8" w:space="0" w:color="auto"/>
              <w:right w:val="single" w:sz="8" w:space="0" w:color="auto"/>
            </w:tcBorders>
            <w:shd w:val="clear" w:color="auto" w:fill="auto"/>
            <w:vAlign w:val="center"/>
            <w:hideMark/>
          </w:tcPr>
          <w:p w:rsidR="002C3234" w:rsidRPr="002C3234" w:rsidRDefault="00A445D6" w:rsidP="002C3234">
            <w:pPr>
              <w:autoSpaceDE/>
              <w:autoSpaceDN/>
              <w:adjustRightInd/>
              <w:spacing w:after="0"/>
              <w:jc w:val="right"/>
              <w:rPr>
                <w:rFonts w:eastAsia="Times New Roman" w:cs="Arial"/>
                <w:lang w:eastAsia="en-GB"/>
              </w:rPr>
            </w:pPr>
            <w:r w:rsidRPr="002C3234">
              <w:rPr>
                <w:rFonts w:eastAsia="Times New Roman" w:cs="Arial"/>
                <w:lang w:eastAsia="en-GB"/>
              </w:rPr>
              <w:t>0.000</w:t>
            </w:r>
          </w:p>
        </w:tc>
      </w:tr>
      <w:tr w:rsidR="00F0025F" w:rsidTr="002C3234">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left"/>
              <w:rPr>
                <w:rFonts w:eastAsia="Times New Roman" w:cs="Arial"/>
                <w:b/>
                <w:bCs/>
                <w:lang w:eastAsia="en-GB"/>
              </w:rPr>
            </w:pPr>
            <w:r w:rsidRPr="002C3234">
              <w:rPr>
                <w:rFonts w:eastAsia="Times New Roman" w:cs="Arial"/>
                <w:b/>
                <w:bCs/>
                <w:lang w:eastAsia="en-GB"/>
              </w:rPr>
              <w:t>Closing balance</w:t>
            </w:r>
            <w:r>
              <w:rPr>
                <w:rFonts w:eastAsia="Times New Roman" w:cs="Arial"/>
                <w:b/>
                <w:bCs/>
                <w:lang w:eastAsia="en-GB"/>
              </w:rPr>
              <w:t xml:space="preserve"> </w:t>
            </w:r>
            <w:r w:rsidRPr="002C3234">
              <w:rPr>
                <w:rFonts w:eastAsia="Times New Roman" w:cs="Arial"/>
                <w:b/>
                <w:bCs/>
                <w:lang w:eastAsia="en-GB"/>
              </w:rPr>
              <w:t>(£m)</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125.388</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79.873</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29.095</w:t>
            </w:r>
          </w:p>
        </w:tc>
        <w:tc>
          <w:tcPr>
            <w:tcW w:w="1134" w:type="dxa"/>
            <w:tcBorders>
              <w:top w:val="nil"/>
              <w:left w:val="nil"/>
              <w:bottom w:val="single" w:sz="8" w:space="0" w:color="auto"/>
              <w:right w:val="single" w:sz="8" w:space="0" w:color="auto"/>
            </w:tcBorders>
            <w:shd w:val="clear" w:color="000000" w:fill="BFBFBF"/>
            <w:vAlign w:val="center"/>
            <w:hideMark/>
          </w:tcPr>
          <w:p w:rsidR="002C3234" w:rsidRPr="002C3234" w:rsidRDefault="00A445D6" w:rsidP="002C3234">
            <w:pPr>
              <w:autoSpaceDE/>
              <w:autoSpaceDN/>
              <w:adjustRightInd/>
              <w:spacing w:after="0"/>
              <w:jc w:val="right"/>
              <w:rPr>
                <w:rFonts w:eastAsia="Times New Roman" w:cs="Arial"/>
                <w:b/>
                <w:bCs/>
                <w:lang w:eastAsia="en-GB"/>
              </w:rPr>
            </w:pPr>
            <w:r w:rsidRPr="002C3234">
              <w:rPr>
                <w:rFonts w:eastAsia="Times New Roman" w:cs="Arial"/>
                <w:b/>
                <w:bCs/>
                <w:lang w:eastAsia="en-GB"/>
              </w:rPr>
              <w:t>-33.059</w:t>
            </w:r>
          </w:p>
        </w:tc>
      </w:tr>
    </w:tbl>
    <w:p w:rsidR="00854D87" w:rsidRDefault="009E0214" w:rsidP="007446EE">
      <w:pPr>
        <w:tabs>
          <w:tab w:val="left" w:pos="567"/>
          <w:tab w:val="left" w:pos="1134"/>
        </w:tabs>
        <w:spacing w:after="0"/>
        <w:rPr>
          <w:rFonts w:cs="Arial"/>
          <w:b/>
          <w:sz w:val="28"/>
          <w:szCs w:val="28"/>
          <w:highlight w:val="yellow"/>
        </w:rPr>
      </w:pPr>
    </w:p>
    <w:p w:rsidR="00FF3EAF" w:rsidRDefault="00A445D6" w:rsidP="007446EE">
      <w:pPr>
        <w:tabs>
          <w:tab w:val="left" w:pos="567"/>
          <w:tab w:val="left" w:pos="1134"/>
        </w:tabs>
        <w:spacing w:after="0"/>
        <w:rPr>
          <w:rFonts w:cs="Arial"/>
          <w:b/>
          <w:i/>
          <w:u w:val="single"/>
        </w:rPr>
      </w:pPr>
      <w:r w:rsidRPr="008036A2">
        <w:rPr>
          <w:rFonts w:cs="Arial"/>
          <w:b/>
          <w:i/>
          <w:u w:val="single"/>
        </w:rPr>
        <w:t xml:space="preserve">Option d) </w:t>
      </w:r>
    </w:p>
    <w:p w:rsidR="00FF3EAF" w:rsidRDefault="009E0214" w:rsidP="007446EE">
      <w:pPr>
        <w:tabs>
          <w:tab w:val="left" w:pos="567"/>
          <w:tab w:val="left" w:pos="1134"/>
        </w:tabs>
        <w:spacing w:after="0"/>
        <w:rPr>
          <w:rFonts w:cs="Arial"/>
          <w:b/>
          <w:i/>
          <w:u w:val="single"/>
        </w:rPr>
      </w:pPr>
    </w:p>
    <w:tbl>
      <w:tblPr>
        <w:tblW w:w="9346" w:type="dxa"/>
        <w:tblLook w:val="04A0" w:firstRow="1" w:lastRow="0" w:firstColumn="1" w:lastColumn="0" w:noHBand="0" w:noVBand="1"/>
      </w:tblPr>
      <w:tblGrid>
        <w:gridCol w:w="4810"/>
        <w:gridCol w:w="1134"/>
        <w:gridCol w:w="1134"/>
        <w:gridCol w:w="1134"/>
        <w:gridCol w:w="1134"/>
      </w:tblGrid>
      <w:tr w:rsidR="00F0025F" w:rsidTr="008036A2">
        <w:trPr>
          <w:trHeight w:val="378"/>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Aggregated Funding Gap</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 </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2019/20 (£m)</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15.596</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15.596</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15.596</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15.596</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2020/21 (£m)</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22.259</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22.259</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22.259</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2021/22 (£m)</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5.507</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5.507</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2022/23 (£m)</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11.376</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 xml:space="preserve">Total </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15.596</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37.855</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43.362</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54.738</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 </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Previous position (£m)</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14.610</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28.790</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34.418</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46.090</w:t>
            </w:r>
          </w:p>
        </w:tc>
      </w:tr>
      <w:tr w:rsidR="00F0025F" w:rsidTr="008036A2">
        <w:trPr>
          <w:trHeight w:val="378"/>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Variance (£m)</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0.986</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9.065</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8.945</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8.648</w:t>
            </w:r>
          </w:p>
        </w:tc>
      </w:tr>
    </w:tbl>
    <w:p w:rsidR="00FF3EAF" w:rsidRDefault="009E0214" w:rsidP="007446EE">
      <w:pPr>
        <w:tabs>
          <w:tab w:val="left" w:pos="567"/>
          <w:tab w:val="left" w:pos="1134"/>
        </w:tabs>
        <w:spacing w:after="0"/>
        <w:rPr>
          <w:rFonts w:cs="Arial"/>
          <w:b/>
          <w:i/>
          <w:u w:val="single"/>
        </w:rPr>
      </w:pPr>
    </w:p>
    <w:p w:rsidR="00FF3EAF" w:rsidRDefault="00A445D6" w:rsidP="007446EE">
      <w:pPr>
        <w:tabs>
          <w:tab w:val="left" w:pos="567"/>
          <w:tab w:val="left" w:pos="1134"/>
        </w:tabs>
        <w:spacing w:after="0"/>
        <w:rPr>
          <w:rFonts w:cs="Arial"/>
          <w:b/>
          <w:i/>
        </w:rPr>
      </w:pPr>
      <w:r w:rsidRPr="00FF57CF">
        <w:rPr>
          <w:rFonts w:cs="Arial"/>
          <w:b/>
          <w:i/>
        </w:rPr>
        <w:t>Transitional Reserve funding:</w:t>
      </w:r>
    </w:p>
    <w:p w:rsidR="00FF3EAF" w:rsidRDefault="009E0214" w:rsidP="007446EE">
      <w:pPr>
        <w:tabs>
          <w:tab w:val="left" w:pos="567"/>
          <w:tab w:val="left" w:pos="1134"/>
        </w:tabs>
        <w:spacing w:after="0"/>
        <w:rPr>
          <w:rFonts w:cs="Arial"/>
          <w:b/>
          <w:i/>
        </w:rPr>
      </w:pPr>
    </w:p>
    <w:tbl>
      <w:tblPr>
        <w:tblW w:w="9346" w:type="dxa"/>
        <w:tblLook w:val="04A0" w:firstRow="1" w:lastRow="0" w:firstColumn="1" w:lastColumn="0" w:noHBand="0" w:noVBand="1"/>
      </w:tblPr>
      <w:tblGrid>
        <w:gridCol w:w="4810"/>
        <w:gridCol w:w="1134"/>
        <w:gridCol w:w="1134"/>
        <w:gridCol w:w="1134"/>
        <w:gridCol w:w="1134"/>
      </w:tblGrid>
      <w:tr w:rsidR="00F0025F" w:rsidTr="008036A2">
        <w:trPr>
          <w:trHeight w:val="330"/>
        </w:trPr>
        <w:tc>
          <w:tcPr>
            <w:tcW w:w="481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2019/20</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2020/21</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2021/22</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2022/23</w:t>
            </w:r>
          </w:p>
        </w:tc>
      </w:tr>
      <w:tr w:rsidR="00F0025F" w:rsidTr="008036A2">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Opening Balance</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139.271</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123.238</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85.189</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41.827</w:t>
            </w:r>
          </w:p>
        </w:tc>
      </w:tr>
      <w:tr w:rsidR="00F0025F" w:rsidTr="008036A2">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Gap funding</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15.596</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37.855</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43.362</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54.738</w:t>
            </w:r>
          </w:p>
        </w:tc>
      </w:tr>
      <w:tr w:rsidR="00F0025F" w:rsidTr="008036A2">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Commitments</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0.437</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0.194</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0.000</w:t>
            </w:r>
          </w:p>
        </w:tc>
        <w:tc>
          <w:tcPr>
            <w:tcW w:w="1134" w:type="dxa"/>
            <w:tcBorders>
              <w:top w:val="nil"/>
              <w:left w:val="nil"/>
              <w:bottom w:val="single" w:sz="8" w:space="0" w:color="auto"/>
              <w:right w:val="single" w:sz="8" w:space="0" w:color="auto"/>
            </w:tcBorders>
            <w:shd w:val="clear" w:color="auto" w:fill="auto"/>
            <w:vAlign w:val="center"/>
            <w:hideMark/>
          </w:tcPr>
          <w:p w:rsidR="00FF3EAF" w:rsidRPr="00FF3EAF" w:rsidRDefault="00A445D6" w:rsidP="00FF3EAF">
            <w:pPr>
              <w:autoSpaceDE/>
              <w:autoSpaceDN/>
              <w:adjustRightInd/>
              <w:spacing w:after="0"/>
              <w:jc w:val="right"/>
              <w:rPr>
                <w:rFonts w:eastAsia="Times New Roman" w:cs="Arial"/>
                <w:lang w:eastAsia="en-GB"/>
              </w:rPr>
            </w:pPr>
            <w:r w:rsidRPr="00FF3EAF">
              <w:rPr>
                <w:rFonts w:eastAsia="Times New Roman" w:cs="Arial"/>
                <w:lang w:eastAsia="en-GB"/>
              </w:rPr>
              <w:t>0.000</w:t>
            </w:r>
          </w:p>
        </w:tc>
      </w:tr>
      <w:tr w:rsidR="00F0025F" w:rsidTr="008036A2">
        <w:trPr>
          <w:trHeight w:val="330"/>
        </w:trPr>
        <w:tc>
          <w:tcPr>
            <w:tcW w:w="4810" w:type="dxa"/>
            <w:tcBorders>
              <w:top w:val="nil"/>
              <w:left w:val="single" w:sz="8" w:space="0" w:color="auto"/>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left"/>
              <w:rPr>
                <w:rFonts w:eastAsia="Times New Roman" w:cs="Arial"/>
                <w:b/>
                <w:bCs/>
                <w:lang w:eastAsia="en-GB"/>
              </w:rPr>
            </w:pPr>
            <w:r w:rsidRPr="00FF3EAF">
              <w:rPr>
                <w:rFonts w:eastAsia="Times New Roman" w:cs="Arial"/>
                <w:b/>
                <w:bCs/>
                <w:lang w:eastAsia="en-GB"/>
              </w:rPr>
              <w:t>Closing balance</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123.238</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85.189</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41.827</w:t>
            </w:r>
          </w:p>
        </w:tc>
        <w:tc>
          <w:tcPr>
            <w:tcW w:w="1134" w:type="dxa"/>
            <w:tcBorders>
              <w:top w:val="nil"/>
              <w:left w:val="nil"/>
              <w:bottom w:val="single" w:sz="8" w:space="0" w:color="auto"/>
              <w:right w:val="single" w:sz="8" w:space="0" w:color="auto"/>
            </w:tcBorders>
            <w:shd w:val="clear" w:color="000000" w:fill="BFBFBF"/>
            <w:vAlign w:val="center"/>
            <w:hideMark/>
          </w:tcPr>
          <w:p w:rsidR="00FF3EAF" w:rsidRPr="00FF3EAF" w:rsidRDefault="00A445D6" w:rsidP="00FF3EAF">
            <w:pPr>
              <w:autoSpaceDE/>
              <w:autoSpaceDN/>
              <w:adjustRightInd/>
              <w:spacing w:after="0"/>
              <w:jc w:val="right"/>
              <w:rPr>
                <w:rFonts w:eastAsia="Times New Roman" w:cs="Arial"/>
                <w:b/>
                <w:bCs/>
                <w:lang w:eastAsia="en-GB"/>
              </w:rPr>
            </w:pPr>
            <w:r w:rsidRPr="00FF3EAF">
              <w:rPr>
                <w:rFonts w:eastAsia="Times New Roman" w:cs="Arial"/>
                <w:b/>
                <w:bCs/>
                <w:lang w:eastAsia="en-GB"/>
              </w:rPr>
              <w:t>-12.911</w:t>
            </w:r>
          </w:p>
        </w:tc>
      </w:tr>
    </w:tbl>
    <w:p w:rsidR="00FF3EAF" w:rsidRPr="008036A2" w:rsidRDefault="009E0214" w:rsidP="007446EE">
      <w:pPr>
        <w:tabs>
          <w:tab w:val="left" w:pos="567"/>
          <w:tab w:val="left" w:pos="1134"/>
        </w:tabs>
        <w:spacing w:after="0"/>
        <w:rPr>
          <w:rFonts w:cs="Arial"/>
          <w:b/>
          <w:i/>
          <w:u w:val="single"/>
        </w:rPr>
      </w:pPr>
    </w:p>
    <w:sectPr w:rsidR="00FF3EAF" w:rsidRPr="008036A2" w:rsidSect="007446EE">
      <w:pgSz w:w="11906" w:h="16838"/>
      <w:pgMar w:top="1276"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4B4" w:rsidRDefault="00A445D6">
      <w:pPr>
        <w:spacing w:after="0"/>
      </w:pPr>
      <w:r>
        <w:separator/>
      </w:r>
    </w:p>
  </w:endnote>
  <w:endnote w:type="continuationSeparator" w:id="0">
    <w:p w:rsidR="00A274B4" w:rsidRDefault="00A44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6211CA" w:rsidRDefault="00A445D6" w:rsidP="009E0214">
        <w:pPr>
          <w:pStyle w:val="Footer"/>
          <w:jc w:val="right"/>
        </w:pPr>
        <w:r>
          <w:fldChar w:fldCharType="begin"/>
        </w:r>
        <w:r>
          <w:instrText xml:space="preserve"> PAGE   \* MERGEFORMAT </w:instrText>
        </w:r>
        <w:r>
          <w:fldChar w:fldCharType="separate"/>
        </w:r>
        <w:r w:rsidR="009E0214">
          <w:rPr>
            <w:noProof/>
          </w:rPr>
          <w:t>20</w:t>
        </w:r>
        <w:r>
          <w:rPr>
            <w:noProof/>
          </w:rPr>
          <w:fldChar w:fldCharType="end"/>
        </w:r>
      </w:p>
    </w:sdtContent>
  </w:sdt>
  <w:p w:rsidR="006211CA" w:rsidRDefault="009E0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4B4" w:rsidRDefault="00A445D6">
      <w:pPr>
        <w:spacing w:after="0"/>
      </w:pPr>
      <w:r>
        <w:separator/>
      </w:r>
    </w:p>
  </w:footnote>
  <w:footnote w:type="continuationSeparator" w:id="0">
    <w:p w:rsidR="00A274B4" w:rsidRDefault="00A445D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CA" w:rsidRDefault="009E0214">
    <w:pPr>
      <w:pStyle w:val="Header"/>
    </w:pPr>
    <w:sdt>
      <w:sdtPr>
        <w:id w:val="-2063089987"/>
        <w:docPartObj>
          <w:docPartGallery w:val="Page Numbers (Top of Page)"/>
          <w:docPartUnique/>
        </w:docPartObj>
      </w:sdtPr>
      <w:sdtEndPr>
        <w:rPr>
          <w:noProof/>
        </w:rPr>
      </w:sdtEndPr>
      <w:sdtContent>
        <w:r w:rsidR="00A445D6">
          <w:fldChar w:fldCharType="begin"/>
        </w:r>
        <w:r w:rsidR="00A445D6">
          <w:instrText xml:space="preserve"> PAGE   \* MERGEFORMAT </w:instrText>
        </w:r>
        <w:r w:rsidR="00A445D6">
          <w:fldChar w:fldCharType="separate"/>
        </w:r>
        <w:r>
          <w:rPr>
            <w:noProof/>
          </w:rPr>
          <w:t>20</w:t>
        </w:r>
        <w:r w:rsidR="00A445D6">
          <w:rPr>
            <w:noProof/>
          </w:rPr>
          <w:fldChar w:fldCharType="end"/>
        </w:r>
      </w:sdtContent>
    </w:sdt>
  </w:p>
  <w:p w:rsidR="006211CA" w:rsidRDefault="009E0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CA" w:rsidRDefault="00A445D6" w:rsidP="00B06504">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-714375</wp:posOffset>
          </wp:positionV>
          <wp:extent cx="7564755" cy="10689590"/>
          <wp:effectExtent l="0" t="0" r="0" b="0"/>
          <wp:wrapNone/>
          <wp:docPr id="5" name="Picture 5" descr="5085 Repor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79054" name="Picture 1" descr="5085 Report Fro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6BB5AB2"/>
    <w:multiLevelType w:val="hybridMultilevel"/>
    <w:tmpl w:val="432A1498"/>
    <w:lvl w:ilvl="0" w:tplc="008C550E">
      <w:start w:val="1"/>
      <w:numFmt w:val="bullet"/>
      <w:lvlText w:val="o"/>
      <w:lvlJc w:val="left"/>
      <w:pPr>
        <w:ind w:left="1222" w:hanging="360"/>
      </w:pPr>
      <w:rPr>
        <w:rFonts w:ascii="Courier New" w:hAnsi="Courier New" w:cs="Courier New" w:hint="default"/>
      </w:rPr>
    </w:lvl>
    <w:lvl w:ilvl="1" w:tplc="8E3038FC" w:tentative="1">
      <w:start w:val="1"/>
      <w:numFmt w:val="bullet"/>
      <w:lvlText w:val="o"/>
      <w:lvlJc w:val="left"/>
      <w:pPr>
        <w:ind w:left="1942" w:hanging="360"/>
      </w:pPr>
      <w:rPr>
        <w:rFonts w:ascii="Courier New" w:hAnsi="Courier New" w:cs="Courier New" w:hint="default"/>
      </w:rPr>
    </w:lvl>
    <w:lvl w:ilvl="2" w:tplc="83FAB78C" w:tentative="1">
      <w:start w:val="1"/>
      <w:numFmt w:val="bullet"/>
      <w:lvlText w:val=""/>
      <w:lvlJc w:val="left"/>
      <w:pPr>
        <w:ind w:left="2662" w:hanging="360"/>
      </w:pPr>
      <w:rPr>
        <w:rFonts w:ascii="Wingdings" w:hAnsi="Wingdings" w:hint="default"/>
      </w:rPr>
    </w:lvl>
    <w:lvl w:ilvl="3" w:tplc="175C74B2" w:tentative="1">
      <w:start w:val="1"/>
      <w:numFmt w:val="bullet"/>
      <w:lvlText w:val=""/>
      <w:lvlJc w:val="left"/>
      <w:pPr>
        <w:ind w:left="3382" w:hanging="360"/>
      </w:pPr>
      <w:rPr>
        <w:rFonts w:ascii="Symbol" w:hAnsi="Symbol" w:hint="default"/>
      </w:rPr>
    </w:lvl>
    <w:lvl w:ilvl="4" w:tplc="4190A726" w:tentative="1">
      <w:start w:val="1"/>
      <w:numFmt w:val="bullet"/>
      <w:lvlText w:val="o"/>
      <w:lvlJc w:val="left"/>
      <w:pPr>
        <w:ind w:left="4102" w:hanging="360"/>
      </w:pPr>
      <w:rPr>
        <w:rFonts w:ascii="Courier New" w:hAnsi="Courier New" w:cs="Courier New" w:hint="default"/>
      </w:rPr>
    </w:lvl>
    <w:lvl w:ilvl="5" w:tplc="E6642EE6" w:tentative="1">
      <w:start w:val="1"/>
      <w:numFmt w:val="bullet"/>
      <w:lvlText w:val=""/>
      <w:lvlJc w:val="left"/>
      <w:pPr>
        <w:ind w:left="4822" w:hanging="360"/>
      </w:pPr>
      <w:rPr>
        <w:rFonts w:ascii="Wingdings" w:hAnsi="Wingdings" w:hint="default"/>
      </w:rPr>
    </w:lvl>
    <w:lvl w:ilvl="6" w:tplc="94E47606" w:tentative="1">
      <w:start w:val="1"/>
      <w:numFmt w:val="bullet"/>
      <w:lvlText w:val=""/>
      <w:lvlJc w:val="left"/>
      <w:pPr>
        <w:ind w:left="5542" w:hanging="360"/>
      </w:pPr>
      <w:rPr>
        <w:rFonts w:ascii="Symbol" w:hAnsi="Symbol" w:hint="default"/>
      </w:rPr>
    </w:lvl>
    <w:lvl w:ilvl="7" w:tplc="25B60E2A" w:tentative="1">
      <w:start w:val="1"/>
      <w:numFmt w:val="bullet"/>
      <w:lvlText w:val="o"/>
      <w:lvlJc w:val="left"/>
      <w:pPr>
        <w:ind w:left="6262" w:hanging="360"/>
      </w:pPr>
      <w:rPr>
        <w:rFonts w:ascii="Courier New" w:hAnsi="Courier New" w:cs="Courier New" w:hint="default"/>
      </w:rPr>
    </w:lvl>
    <w:lvl w:ilvl="8" w:tplc="D5C8E12C" w:tentative="1">
      <w:start w:val="1"/>
      <w:numFmt w:val="bullet"/>
      <w:lvlText w:val=""/>
      <w:lvlJc w:val="left"/>
      <w:pPr>
        <w:ind w:left="6982" w:hanging="360"/>
      </w:pPr>
      <w:rPr>
        <w:rFonts w:ascii="Wingdings" w:hAnsi="Wingdings" w:hint="default"/>
      </w:rPr>
    </w:lvl>
  </w:abstractNum>
  <w:abstractNum w:abstractNumId="21" w15:restartNumberingAfterBreak="0">
    <w:nsid w:val="073E17C5"/>
    <w:multiLevelType w:val="multilevel"/>
    <w:tmpl w:val="0D9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0C3370D"/>
    <w:multiLevelType w:val="multilevel"/>
    <w:tmpl w:val="7E74B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AF4DEE"/>
    <w:multiLevelType w:val="hybridMultilevel"/>
    <w:tmpl w:val="D54672F6"/>
    <w:lvl w:ilvl="0" w:tplc="C6402C3A">
      <w:start w:val="1"/>
      <w:numFmt w:val="bullet"/>
      <w:lvlText w:val=""/>
      <w:lvlJc w:val="left"/>
      <w:pPr>
        <w:ind w:left="720" w:hanging="360"/>
      </w:pPr>
      <w:rPr>
        <w:rFonts w:ascii="Symbol" w:hAnsi="Symbol" w:hint="default"/>
      </w:rPr>
    </w:lvl>
    <w:lvl w:ilvl="1" w:tplc="3A1EF526" w:tentative="1">
      <w:start w:val="1"/>
      <w:numFmt w:val="bullet"/>
      <w:lvlText w:val="o"/>
      <w:lvlJc w:val="left"/>
      <w:pPr>
        <w:ind w:left="1440" w:hanging="360"/>
      </w:pPr>
      <w:rPr>
        <w:rFonts w:ascii="Courier New" w:hAnsi="Courier New" w:cs="Courier New" w:hint="default"/>
      </w:rPr>
    </w:lvl>
    <w:lvl w:ilvl="2" w:tplc="46B6310C" w:tentative="1">
      <w:start w:val="1"/>
      <w:numFmt w:val="bullet"/>
      <w:lvlText w:val=""/>
      <w:lvlJc w:val="left"/>
      <w:pPr>
        <w:ind w:left="2160" w:hanging="360"/>
      </w:pPr>
      <w:rPr>
        <w:rFonts w:ascii="Wingdings" w:hAnsi="Wingdings" w:hint="default"/>
      </w:rPr>
    </w:lvl>
    <w:lvl w:ilvl="3" w:tplc="1BB8C020" w:tentative="1">
      <w:start w:val="1"/>
      <w:numFmt w:val="bullet"/>
      <w:lvlText w:val=""/>
      <w:lvlJc w:val="left"/>
      <w:pPr>
        <w:ind w:left="2880" w:hanging="360"/>
      </w:pPr>
      <w:rPr>
        <w:rFonts w:ascii="Symbol" w:hAnsi="Symbol" w:hint="default"/>
      </w:rPr>
    </w:lvl>
    <w:lvl w:ilvl="4" w:tplc="2CA4F89A" w:tentative="1">
      <w:start w:val="1"/>
      <w:numFmt w:val="bullet"/>
      <w:lvlText w:val="o"/>
      <w:lvlJc w:val="left"/>
      <w:pPr>
        <w:ind w:left="3600" w:hanging="360"/>
      </w:pPr>
      <w:rPr>
        <w:rFonts w:ascii="Courier New" w:hAnsi="Courier New" w:cs="Courier New" w:hint="default"/>
      </w:rPr>
    </w:lvl>
    <w:lvl w:ilvl="5" w:tplc="B626870C" w:tentative="1">
      <w:start w:val="1"/>
      <w:numFmt w:val="bullet"/>
      <w:lvlText w:val=""/>
      <w:lvlJc w:val="left"/>
      <w:pPr>
        <w:ind w:left="4320" w:hanging="360"/>
      </w:pPr>
      <w:rPr>
        <w:rFonts w:ascii="Wingdings" w:hAnsi="Wingdings" w:hint="default"/>
      </w:rPr>
    </w:lvl>
    <w:lvl w:ilvl="6" w:tplc="59B26D1A" w:tentative="1">
      <w:start w:val="1"/>
      <w:numFmt w:val="bullet"/>
      <w:lvlText w:val=""/>
      <w:lvlJc w:val="left"/>
      <w:pPr>
        <w:ind w:left="5040" w:hanging="360"/>
      </w:pPr>
      <w:rPr>
        <w:rFonts w:ascii="Symbol" w:hAnsi="Symbol" w:hint="default"/>
      </w:rPr>
    </w:lvl>
    <w:lvl w:ilvl="7" w:tplc="166A2CF4" w:tentative="1">
      <w:start w:val="1"/>
      <w:numFmt w:val="bullet"/>
      <w:lvlText w:val="o"/>
      <w:lvlJc w:val="left"/>
      <w:pPr>
        <w:ind w:left="5760" w:hanging="360"/>
      </w:pPr>
      <w:rPr>
        <w:rFonts w:ascii="Courier New" w:hAnsi="Courier New" w:cs="Courier New" w:hint="default"/>
      </w:rPr>
    </w:lvl>
    <w:lvl w:ilvl="8" w:tplc="E4A2C450" w:tentative="1">
      <w:start w:val="1"/>
      <w:numFmt w:val="bullet"/>
      <w:lvlText w:val=""/>
      <w:lvlJc w:val="left"/>
      <w:pPr>
        <w:ind w:left="6480" w:hanging="360"/>
      </w:pPr>
      <w:rPr>
        <w:rFonts w:ascii="Wingdings" w:hAnsi="Wingdings" w:hint="default"/>
      </w:rPr>
    </w:lvl>
  </w:abstractNum>
  <w:abstractNum w:abstractNumId="24" w15:restartNumberingAfterBreak="0">
    <w:nsid w:val="32DE378D"/>
    <w:multiLevelType w:val="hybridMultilevel"/>
    <w:tmpl w:val="669255CA"/>
    <w:lvl w:ilvl="0" w:tplc="7DFE0C3C">
      <w:start w:val="1"/>
      <w:numFmt w:val="bullet"/>
      <w:pStyle w:val="Bullet"/>
      <w:lvlText w:val=""/>
      <w:lvlJc w:val="left"/>
      <w:pPr>
        <w:ind w:left="363" w:hanging="360"/>
      </w:pPr>
      <w:rPr>
        <w:rFonts w:ascii="Symbol" w:hAnsi="Symbol" w:hint="default"/>
      </w:rPr>
    </w:lvl>
    <w:lvl w:ilvl="1" w:tplc="998C0670">
      <w:start w:val="1"/>
      <w:numFmt w:val="bullet"/>
      <w:pStyle w:val="Bullet-indent"/>
      <w:lvlText w:val="o"/>
      <w:lvlJc w:val="left"/>
      <w:pPr>
        <w:ind w:left="1083" w:hanging="360"/>
      </w:pPr>
      <w:rPr>
        <w:rFonts w:ascii="Courier New" w:hAnsi="Courier New" w:cs="Courier New" w:hint="default"/>
      </w:rPr>
    </w:lvl>
    <w:lvl w:ilvl="2" w:tplc="446EA4B6" w:tentative="1">
      <w:start w:val="1"/>
      <w:numFmt w:val="bullet"/>
      <w:lvlText w:val=""/>
      <w:lvlJc w:val="left"/>
      <w:pPr>
        <w:ind w:left="1803" w:hanging="360"/>
      </w:pPr>
      <w:rPr>
        <w:rFonts w:ascii="Wingdings" w:hAnsi="Wingdings" w:hint="default"/>
      </w:rPr>
    </w:lvl>
    <w:lvl w:ilvl="3" w:tplc="50CABAF2" w:tentative="1">
      <w:start w:val="1"/>
      <w:numFmt w:val="bullet"/>
      <w:lvlText w:val=""/>
      <w:lvlJc w:val="left"/>
      <w:pPr>
        <w:ind w:left="2523" w:hanging="360"/>
      </w:pPr>
      <w:rPr>
        <w:rFonts w:ascii="Symbol" w:hAnsi="Symbol" w:hint="default"/>
      </w:rPr>
    </w:lvl>
    <w:lvl w:ilvl="4" w:tplc="5E021026" w:tentative="1">
      <w:start w:val="1"/>
      <w:numFmt w:val="bullet"/>
      <w:lvlText w:val="o"/>
      <w:lvlJc w:val="left"/>
      <w:pPr>
        <w:ind w:left="3243" w:hanging="360"/>
      </w:pPr>
      <w:rPr>
        <w:rFonts w:ascii="Courier New" w:hAnsi="Courier New" w:cs="Courier New" w:hint="default"/>
      </w:rPr>
    </w:lvl>
    <w:lvl w:ilvl="5" w:tplc="E5601AAC" w:tentative="1">
      <w:start w:val="1"/>
      <w:numFmt w:val="bullet"/>
      <w:lvlText w:val=""/>
      <w:lvlJc w:val="left"/>
      <w:pPr>
        <w:ind w:left="3963" w:hanging="360"/>
      </w:pPr>
      <w:rPr>
        <w:rFonts w:ascii="Wingdings" w:hAnsi="Wingdings" w:hint="default"/>
      </w:rPr>
    </w:lvl>
    <w:lvl w:ilvl="6" w:tplc="B2141BEA" w:tentative="1">
      <w:start w:val="1"/>
      <w:numFmt w:val="bullet"/>
      <w:lvlText w:val=""/>
      <w:lvlJc w:val="left"/>
      <w:pPr>
        <w:ind w:left="4683" w:hanging="360"/>
      </w:pPr>
      <w:rPr>
        <w:rFonts w:ascii="Symbol" w:hAnsi="Symbol" w:hint="default"/>
      </w:rPr>
    </w:lvl>
    <w:lvl w:ilvl="7" w:tplc="330CDF9E" w:tentative="1">
      <w:start w:val="1"/>
      <w:numFmt w:val="bullet"/>
      <w:lvlText w:val="o"/>
      <w:lvlJc w:val="left"/>
      <w:pPr>
        <w:ind w:left="5403" w:hanging="360"/>
      </w:pPr>
      <w:rPr>
        <w:rFonts w:ascii="Courier New" w:hAnsi="Courier New" w:cs="Courier New" w:hint="default"/>
      </w:rPr>
    </w:lvl>
    <w:lvl w:ilvl="8" w:tplc="4D26FFC4" w:tentative="1">
      <w:start w:val="1"/>
      <w:numFmt w:val="bullet"/>
      <w:lvlText w:val=""/>
      <w:lvlJc w:val="left"/>
      <w:pPr>
        <w:ind w:left="6123" w:hanging="360"/>
      </w:pPr>
      <w:rPr>
        <w:rFonts w:ascii="Wingdings" w:hAnsi="Wingdings" w:hint="default"/>
      </w:rPr>
    </w:lvl>
  </w:abstractNum>
  <w:abstractNum w:abstractNumId="25" w15:restartNumberingAfterBreak="0">
    <w:nsid w:val="338E1B06"/>
    <w:multiLevelType w:val="hybridMultilevel"/>
    <w:tmpl w:val="C8C6DC48"/>
    <w:lvl w:ilvl="0" w:tplc="96FCA5A8">
      <w:start w:val="1"/>
      <w:numFmt w:val="bullet"/>
      <w:lvlText w:val=""/>
      <w:lvlJc w:val="left"/>
      <w:pPr>
        <w:ind w:left="720" w:hanging="360"/>
      </w:pPr>
      <w:rPr>
        <w:rFonts w:ascii="Symbol" w:hAnsi="Symbol" w:hint="default"/>
      </w:rPr>
    </w:lvl>
    <w:lvl w:ilvl="1" w:tplc="CDC6E082" w:tentative="1">
      <w:start w:val="1"/>
      <w:numFmt w:val="bullet"/>
      <w:lvlText w:val="o"/>
      <w:lvlJc w:val="left"/>
      <w:pPr>
        <w:ind w:left="1440" w:hanging="360"/>
      </w:pPr>
      <w:rPr>
        <w:rFonts w:ascii="Courier New" w:hAnsi="Courier New" w:cs="Courier New" w:hint="default"/>
      </w:rPr>
    </w:lvl>
    <w:lvl w:ilvl="2" w:tplc="96AA794C" w:tentative="1">
      <w:start w:val="1"/>
      <w:numFmt w:val="bullet"/>
      <w:lvlText w:val=""/>
      <w:lvlJc w:val="left"/>
      <w:pPr>
        <w:ind w:left="2160" w:hanging="360"/>
      </w:pPr>
      <w:rPr>
        <w:rFonts w:ascii="Wingdings" w:hAnsi="Wingdings" w:hint="default"/>
      </w:rPr>
    </w:lvl>
    <w:lvl w:ilvl="3" w:tplc="D9D679D2" w:tentative="1">
      <w:start w:val="1"/>
      <w:numFmt w:val="bullet"/>
      <w:lvlText w:val=""/>
      <w:lvlJc w:val="left"/>
      <w:pPr>
        <w:ind w:left="2880" w:hanging="360"/>
      </w:pPr>
      <w:rPr>
        <w:rFonts w:ascii="Symbol" w:hAnsi="Symbol" w:hint="default"/>
      </w:rPr>
    </w:lvl>
    <w:lvl w:ilvl="4" w:tplc="14926E14" w:tentative="1">
      <w:start w:val="1"/>
      <w:numFmt w:val="bullet"/>
      <w:lvlText w:val="o"/>
      <w:lvlJc w:val="left"/>
      <w:pPr>
        <w:ind w:left="3600" w:hanging="360"/>
      </w:pPr>
      <w:rPr>
        <w:rFonts w:ascii="Courier New" w:hAnsi="Courier New" w:cs="Courier New" w:hint="default"/>
      </w:rPr>
    </w:lvl>
    <w:lvl w:ilvl="5" w:tplc="4D54E528" w:tentative="1">
      <w:start w:val="1"/>
      <w:numFmt w:val="bullet"/>
      <w:lvlText w:val=""/>
      <w:lvlJc w:val="left"/>
      <w:pPr>
        <w:ind w:left="4320" w:hanging="360"/>
      </w:pPr>
      <w:rPr>
        <w:rFonts w:ascii="Wingdings" w:hAnsi="Wingdings" w:hint="default"/>
      </w:rPr>
    </w:lvl>
    <w:lvl w:ilvl="6" w:tplc="D8D4D718" w:tentative="1">
      <w:start w:val="1"/>
      <w:numFmt w:val="bullet"/>
      <w:lvlText w:val=""/>
      <w:lvlJc w:val="left"/>
      <w:pPr>
        <w:ind w:left="5040" w:hanging="360"/>
      </w:pPr>
      <w:rPr>
        <w:rFonts w:ascii="Symbol" w:hAnsi="Symbol" w:hint="default"/>
      </w:rPr>
    </w:lvl>
    <w:lvl w:ilvl="7" w:tplc="74EA9EAA" w:tentative="1">
      <w:start w:val="1"/>
      <w:numFmt w:val="bullet"/>
      <w:lvlText w:val="o"/>
      <w:lvlJc w:val="left"/>
      <w:pPr>
        <w:ind w:left="5760" w:hanging="360"/>
      </w:pPr>
      <w:rPr>
        <w:rFonts w:ascii="Courier New" w:hAnsi="Courier New" w:cs="Courier New" w:hint="default"/>
      </w:rPr>
    </w:lvl>
    <w:lvl w:ilvl="8" w:tplc="68EC8DCA" w:tentative="1">
      <w:start w:val="1"/>
      <w:numFmt w:val="bullet"/>
      <w:lvlText w:val=""/>
      <w:lvlJc w:val="left"/>
      <w:pPr>
        <w:ind w:left="6480" w:hanging="360"/>
      </w:pPr>
      <w:rPr>
        <w:rFonts w:ascii="Wingdings" w:hAnsi="Wingdings" w:hint="default"/>
      </w:rPr>
    </w:lvl>
  </w:abstractNum>
  <w:abstractNum w:abstractNumId="26" w15:restartNumberingAfterBreak="0">
    <w:nsid w:val="37573839"/>
    <w:multiLevelType w:val="hybridMultilevel"/>
    <w:tmpl w:val="5118811A"/>
    <w:lvl w:ilvl="0" w:tplc="1ABE4ED2">
      <w:start w:val="1"/>
      <w:numFmt w:val="bullet"/>
      <w:lvlText w:val=""/>
      <w:lvlJc w:val="left"/>
      <w:pPr>
        <w:ind w:left="786" w:hanging="360"/>
      </w:pPr>
      <w:rPr>
        <w:rFonts w:ascii="Symbol" w:hAnsi="Symbol" w:hint="default"/>
      </w:rPr>
    </w:lvl>
    <w:lvl w:ilvl="1" w:tplc="60CC0350" w:tentative="1">
      <w:start w:val="1"/>
      <w:numFmt w:val="bullet"/>
      <w:lvlText w:val="o"/>
      <w:lvlJc w:val="left"/>
      <w:pPr>
        <w:ind w:left="1506" w:hanging="360"/>
      </w:pPr>
      <w:rPr>
        <w:rFonts w:ascii="Courier New" w:hAnsi="Courier New" w:cs="Courier New" w:hint="default"/>
      </w:rPr>
    </w:lvl>
    <w:lvl w:ilvl="2" w:tplc="530E8F9C" w:tentative="1">
      <w:start w:val="1"/>
      <w:numFmt w:val="bullet"/>
      <w:lvlText w:val=""/>
      <w:lvlJc w:val="left"/>
      <w:pPr>
        <w:ind w:left="2226" w:hanging="360"/>
      </w:pPr>
      <w:rPr>
        <w:rFonts w:ascii="Wingdings" w:hAnsi="Wingdings" w:hint="default"/>
      </w:rPr>
    </w:lvl>
    <w:lvl w:ilvl="3" w:tplc="E8605EDA" w:tentative="1">
      <w:start w:val="1"/>
      <w:numFmt w:val="bullet"/>
      <w:lvlText w:val=""/>
      <w:lvlJc w:val="left"/>
      <w:pPr>
        <w:ind w:left="2946" w:hanging="360"/>
      </w:pPr>
      <w:rPr>
        <w:rFonts w:ascii="Symbol" w:hAnsi="Symbol" w:hint="default"/>
      </w:rPr>
    </w:lvl>
    <w:lvl w:ilvl="4" w:tplc="5ED81CE8" w:tentative="1">
      <w:start w:val="1"/>
      <w:numFmt w:val="bullet"/>
      <w:lvlText w:val="o"/>
      <w:lvlJc w:val="left"/>
      <w:pPr>
        <w:ind w:left="3666" w:hanging="360"/>
      </w:pPr>
      <w:rPr>
        <w:rFonts w:ascii="Courier New" w:hAnsi="Courier New" w:cs="Courier New" w:hint="default"/>
      </w:rPr>
    </w:lvl>
    <w:lvl w:ilvl="5" w:tplc="6B3659B4" w:tentative="1">
      <w:start w:val="1"/>
      <w:numFmt w:val="bullet"/>
      <w:lvlText w:val=""/>
      <w:lvlJc w:val="left"/>
      <w:pPr>
        <w:ind w:left="4386" w:hanging="360"/>
      </w:pPr>
      <w:rPr>
        <w:rFonts w:ascii="Wingdings" w:hAnsi="Wingdings" w:hint="default"/>
      </w:rPr>
    </w:lvl>
    <w:lvl w:ilvl="6" w:tplc="EAAEB752" w:tentative="1">
      <w:start w:val="1"/>
      <w:numFmt w:val="bullet"/>
      <w:lvlText w:val=""/>
      <w:lvlJc w:val="left"/>
      <w:pPr>
        <w:ind w:left="5106" w:hanging="360"/>
      </w:pPr>
      <w:rPr>
        <w:rFonts w:ascii="Symbol" w:hAnsi="Symbol" w:hint="default"/>
      </w:rPr>
    </w:lvl>
    <w:lvl w:ilvl="7" w:tplc="7A92B464" w:tentative="1">
      <w:start w:val="1"/>
      <w:numFmt w:val="bullet"/>
      <w:lvlText w:val="o"/>
      <w:lvlJc w:val="left"/>
      <w:pPr>
        <w:ind w:left="5826" w:hanging="360"/>
      </w:pPr>
      <w:rPr>
        <w:rFonts w:ascii="Courier New" w:hAnsi="Courier New" w:cs="Courier New" w:hint="default"/>
      </w:rPr>
    </w:lvl>
    <w:lvl w:ilvl="8" w:tplc="E17E5C12" w:tentative="1">
      <w:start w:val="1"/>
      <w:numFmt w:val="bullet"/>
      <w:lvlText w:val=""/>
      <w:lvlJc w:val="left"/>
      <w:pPr>
        <w:ind w:left="6546" w:hanging="360"/>
      </w:pPr>
      <w:rPr>
        <w:rFonts w:ascii="Wingdings" w:hAnsi="Wingdings" w:hint="default"/>
      </w:rPr>
    </w:lvl>
  </w:abstractNum>
  <w:abstractNum w:abstractNumId="27" w15:restartNumberingAfterBreak="0">
    <w:nsid w:val="398D0E63"/>
    <w:multiLevelType w:val="hybridMultilevel"/>
    <w:tmpl w:val="504838DE"/>
    <w:lvl w:ilvl="0" w:tplc="BA746514">
      <w:start w:val="1"/>
      <w:numFmt w:val="bullet"/>
      <w:lvlText w:val=""/>
      <w:lvlJc w:val="left"/>
      <w:pPr>
        <w:ind w:left="1440" w:hanging="360"/>
      </w:pPr>
      <w:rPr>
        <w:rFonts w:ascii="Symbol" w:hAnsi="Symbol" w:hint="default"/>
      </w:rPr>
    </w:lvl>
    <w:lvl w:ilvl="1" w:tplc="3042A54C" w:tentative="1">
      <w:start w:val="1"/>
      <w:numFmt w:val="bullet"/>
      <w:lvlText w:val="o"/>
      <w:lvlJc w:val="left"/>
      <w:pPr>
        <w:ind w:left="2160" w:hanging="360"/>
      </w:pPr>
      <w:rPr>
        <w:rFonts w:ascii="Courier New" w:hAnsi="Courier New" w:cs="Courier New" w:hint="default"/>
      </w:rPr>
    </w:lvl>
    <w:lvl w:ilvl="2" w:tplc="009CA77E" w:tentative="1">
      <w:start w:val="1"/>
      <w:numFmt w:val="bullet"/>
      <w:lvlText w:val=""/>
      <w:lvlJc w:val="left"/>
      <w:pPr>
        <w:ind w:left="2880" w:hanging="360"/>
      </w:pPr>
      <w:rPr>
        <w:rFonts w:ascii="Wingdings" w:hAnsi="Wingdings" w:hint="default"/>
      </w:rPr>
    </w:lvl>
    <w:lvl w:ilvl="3" w:tplc="0EEE2832" w:tentative="1">
      <w:start w:val="1"/>
      <w:numFmt w:val="bullet"/>
      <w:lvlText w:val=""/>
      <w:lvlJc w:val="left"/>
      <w:pPr>
        <w:ind w:left="3600" w:hanging="360"/>
      </w:pPr>
      <w:rPr>
        <w:rFonts w:ascii="Symbol" w:hAnsi="Symbol" w:hint="default"/>
      </w:rPr>
    </w:lvl>
    <w:lvl w:ilvl="4" w:tplc="61B6EADE" w:tentative="1">
      <w:start w:val="1"/>
      <w:numFmt w:val="bullet"/>
      <w:lvlText w:val="o"/>
      <w:lvlJc w:val="left"/>
      <w:pPr>
        <w:ind w:left="4320" w:hanging="360"/>
      </w:pPr>
      <w:rPr>
        <w:rFonts w:ascii="Courier New" w:hAnsi="Courier New" w:cs="Courier New" w:hint="default"/>
      </w:rPr>
    </w:lvl>
    <w:lvl w:ilvl="5" w:tplc="CD549068" w:tentative="1">
      <w:start w:val="1"/>
      <w:numFmt w:val="bullet"/>
      <w:lvlText w:val=""/>
      <w:lvlJc w:val="left"/>
      <w:pPr>
        <w:ind w:left="5040" w:hanging="360"/>
      </w:pPr>
      <w:rPr>
        <w:rFonts w:ascii="Wingdings" w:hAnsi="Wingdings" w:hint="default"/>
      </w:rPr>
    </w:lvl>
    <w:lvl w:ilvl="6" w:tplc="69BE4026" w:tentative="1">
      <w:start w:val="1"/>
      <w:numFmt w:val="bullet"/>
      <w:lvlText w:val=""/>
      <w:lvlJc w:val="left"/>
      <w:pPr>
        <w:ind w:left="5760" w:hanging="360"/>
      </w:pPr>
      <w:rPr>
        <w:rFonts w:ascii="Symbol" w:hAnsi="Symbol" w:hint="default"/>
      </w:rPr>
    </w:lvl>
    <w:lvl w:ilvl="7" w:tplc="77928A68" w:tentative="1">
      <w:start w:val="1"/>
      <w:numFmt w:val="bullet"/>
      <w:lvlText w:val="o"/>
      <w:lvlJc w:val="left"/>
      <w:pPr>
        <w:ind w:left="6480" w:hanging="360"/>
      </w:pPr>
      <w:rPr>
        <w:rFonts w:ascii="Courier New" w:hAnsi="Courier New" w:cs="Courier New" w:hint="default"/>
      </w:rPr>
    </w:lvl>
    <w:lvl w:ilvl="8" w:tplc="4D9CD04C" w:tentative="1">
      <w:start w:val="1"/>
      <w:numFmt w:val="bullet"/>
      <w:lvlText w:val=""/>
      <w:lvlJc w:val="left"/>
      <w:pPr>
        <w:ind w:left="7200" w:hanging="360"/>
      </w:pPr>
      <w:rPr>
        <w:rFonts w:ascii="Wingdings" w:hAnsi="Wingdings" w:hint="default"/>
      </w:rPr>
    </w:lvl>
  </w:abstractNum>
  <w:abstractNum w:abstractNumId="28" w15:restartNumberingAfterBreak="0">
    <w:nsid w:val="3CD21179"/>
    <w:multiLevelType w:val="hybridMultilevel"/>
    <w:tmpl w:val="FC2CECA6"/>
    <w:lvl w:ilvl="0" w:tplc="702A631A">
      <w:start w:val="1"/>
      <w:numFmt w:val="bullet"/>
      <w:lvlText w:val=""/>
      <w:lvlJc w:val="left"/>
      <w:pPr>
        <w:ind w:left="720" w:hanging="360"/>
      </w:pPr>
      <w:rPr>
        <w:rFonts w:ascii="Symbol" w:hAnsi="Symbol" w:hint="default"/>
      </w:rPr>
    </w:lvl>
    <w:lvl w:ilvl="1" w:tplc="64848098">
      <w:start w:val="1"/>
      <w:numFmt w:val="bullet"/>
      <w:lvlText w:val="o"/>
      <w:lvlJc w:val="left"/>
      <w:pPr>
        <w:ind w:left="1353" w:hanging="360"/>
      </w:pPr>
      <w:rPr>
        <w:rFonts w:ascii="Courier New" w:hAnsi="Courier New" w:cs="Courier New" w:hint="default"/>
      </w:rPr>
    </w:lvl>
    <w:lvl w:ilvl="2" w:tplc="E0E43D1E">
      <w:start w:val="1"/>
      <w:numFmt w:val="bullet"/>
      <w:lvlText w:val=""/>
      <w:lvlJc w:val="left"/>
      <w:pPr>
        <w:ind w:left="2160" w:hanging="360"/>
      </w:pPr>
      <w:rPr>
        <w:rFonts w:ascii="Wingdings" w:hAnsi="Wingdings" w:hint="default"/>
      </w:rPr>
    </w:lvl>
    <w:lvl w:ilvl="3" w:tplc="0EA08742" w:tentative="1">
      <w:start w:val="1"/>
      <w:numFmt w:val="bullet"/>
      <w:lvlText w:val=""/>
      <w:lvlJc w:val="left"/>
      <w:pPr>
        <w:ind w:left="2880" w:hanging="360"/>
      </w:pPr>
      <w:rPr>
        <w:rFonts w:ascii="Symbol" w:hAnsi="Symbol" w:hint="default"/>
      </w:rPr>
    </w:lvl>
    <w:lvl w:ilvl="4" w:tplc="62D627EC" w:tentative="1">
      <w:start w:val="1"/>
      <w:numFmt w:val="bullet"/>
      <w:lvlText w:val="o"/>
      <w:lvlJc w:val="left"/>
      <w:pPr>
        <w:ind w:left="3600" w:hanging="360"/>
      </w:pPr>
      <w:rPr>
        <w:rFonts w:ascii="Courier New" w:hAnsi="Courier New" w:cs="Courier New" w:hint="default"/>
      </w:rPr>
    </w:lvl>
    <w:lvl w:ilvl="5" w:tplc="0EE23E16" w:tentative="1">
      <w:start w:val="1"/>
      <w:numFmt w:val="bullet"/>
      <w:lvlText w:val=""/>
      <w:lvlJc w:val="left"/>
      <w:pPr>
        <w:ind w:left="4320" w:hanging="360"/>
      </w:pPr>
      <w:rPr>
        <w:rFonts w:ascii="Wingdings" w:hAnsi="Wingdings" w:hint="default"/>
      </w:rPr>
    </w:lvl>
    <w:lvl w:ilvl="6" w:tplc="244A9656" w:tentative="1">
      <w:start w:val="1"/>
      <w:numFmt w:val="bullet"/>
      <w:lvlText w:val=""/>
      <w:lvlJc w:val="left"/>
      <w:pPr>
        <w:ind w:left="5040" w:hanging="360"/>
      </w:pPr>
      <w:rPr>
        <w:rFonts w:ascii="Symbol" w:hAnsi="Symbol" w:hint="default"/>
      </w:rPr>
    </w:lvl>
    <w:lvl w:ilvl="7" w:tplc="D45EC69E" w:tentative="1">
      <w:start w:val="1"/>
      <w:numFmt w:val="bullet"/>
      <w:lvlText w:val="o"/>
      <w:lvlJc w:val="left"/>
      <w:pPr>
        <w:ind w:left="5760" w:hanging="360"/>
      </w:pPr>
      <w:rPr>
        <w:rFonts w:ascii="Courier New" w:hAnsi="Courier New" w:cs="Courier New" w:hint="default"/>
      </w:rPr>
    </w:lvl>
    <w:lvl w:ilvl="8" w:tplc="40CADC6A" w:tentative="1">
      <w:start w:val="1"/>
      <w:numFmt w:val="bullet"/>
      <w:lvlText w:val=""/>
      <w:lvlJc w:val="left"/>
      <w:pPr>
        <w:ind w:left="6480" w:hanging="360"/>
      </w:pPr>
      <w:rPr>
        <w:rFonts w:ascii="Wingdings" w:hAnsi="Wingdings" w:hint="default"/>
      </w:rPr>
    </w:lvl>
  </w:abstractNum>
  <w:abstractNum w:abstractNumId="29" w15:restartNumberingAfterBreak="0">
    <w:nsid w:val="420860A3"/>
    <w:multiLevelType w:val="hybridMultilevel"/>
    <w:tmpl w:val="2DF6A548"/>
    <w:lvl w:ilvl="0" w:tplc="8D04774A">
      <w:start w:val="1"/>
      <w:numFmt w:val="decimal"/>
      <w:pStyle w:val="Heading2-numbered"/>
      <w:lvlText w:val="%1."/>
      <w:lvlJc w:val="left"/>
      <w:pPr>
        <w:ind w:left="360" w:hanging="360"/>
      </w:pPr>
    </w:lvl>
    <w:lvl w:ilvl="1" w:tplc="BE88F40C" w:tentative="1">
      <w:start w:val="1"/>
      <w:numFmt w:val="lowerLetter"/>
      <w:lvlText w:val="%2."/>
      <w:lvlJc w:val="left"/>
      <w:pPr>
        <w:ind w:left="1080" w:hanging="360"/>
      </w:pPr>
    </w:lvl>
    <w:lvl w:ilvl="2" w:tplc="113C6966" w:tentative="1">
      <w:start w:val="1"/>
      <w:numFmt w:val="lowerRoman"/>
      <w:lvlText w:val="%3."/>
      <w:lvlJc w:val="right"/>
      <w:pPr>
        <w:ind w:left="1800" w:hanging="180"/>
      </w:pPr>
    </w:lvl>
    <w:lvl w:ilvl="3" w:tplc="D39C96F2" w:tentative="1">
      <w:start w:val="1"/>
      <w:numFmt w:val="decimal"/>
      <w:lvlText w:val="%4."/>
      <w:lvlJc w:val="left"/>
      <w:pPr>
        <w:ind w:left="2520" w:hanging="360"/>
      </w:pPr>
    </w:lvl>
    <w:lvl w:ilvl="4" w:tplc="4784F44E" w:tentative="1">
      <w:start w:val="1"/>
      <w:numFmt w:val="lowerLetter"/>
      <w:lvlText w:val="%5."/>
      <w:lvlJc w:val="left"/>
      <w:pPr>
        <w:ind w:left="3240" w:hanging="360"/>
      </w:pPr>
    </w:lvl>
    <w:lvl w:ilvl="5" w:tplc="137E1F12" w:tentative="1">
      <w:start w:val="1"/>
      <w:numFmt w:val="lowerRoman"/>
      <w:lvlText w:val="%6."/>
      <w:lvlJc w:val="right"/>
      <w:pPr>
        <w:ind w:left="3960" w:hanging="180"/>
      </w:pPr>
    </w:lvl>
    <w:lvl w:ilvl="6" w:tplc="48AA0870" w:tentative="1">
      <w:start w:val="1"/>
      <w:numFmt w:val="decimal"/>
      <w:lvlText w:val="%7."/>
      <w:lvlJc w:val="left"/>
      <w:pPr>
        <w:ind w:left="4680" w:hanging="360"/>
      </w:pPr>
    </w:lvl>
    <w:lvl w:ilvl="7" w:tplc="12B4EA48" w:tentative="1">
      <w:start w:val="1"/>
      <w:numFmt w:val="lowerLetter"/>
      <w:lvlText w:val="%8."/>
      <w:lvlJc w:val="left"/>
      <w:pPr>
        <w:ind w:left="5400" w:hanging="360"/>
      </w:pPr>
    </w:lvl>
    <w:lvl w:ilvl="8" w:tplc="7ABE5292" w:tentative="1">
      <w:start w:val="1"/>
      <w:numFmt w:val="lowerRoman"/>
      <w:lvlText w:val="%9."/>
      <w:lvlJc w:val="right"/>
      <w:pPr>
        <w:ind w:left="6120" w:hanging="180"/>
      </w:pPr>
    </w:lvl>
  </w:abstractNum>
  <w:abstractNum w:abstractNumId="30" w15:restartNumberingAfterBreak="0">
    <w:nsid w:val="4E097B18"/>
    <w:multiLevelType w:val="hybridMultilevel"/>
    <w:tmpl w:val="4A8A06F0"/>
    <w:lvl w:ilvl="0" w:tplc="44EEE9E2">
      <w:start w:val="1"/>
      <w:numFmt w:val="bullet"/>
      <w:lvlText w:val=""/>
      <w:lvlJc w:val="left"/>
      <w:pPr>
        <w:ind w:left="720" w:hanging="360"/>
      </w:pPr>
      <w:rPr>
        <w:rFonts w:ascii="Symbol" w:hAnsi="Symbol" w:hint="default"/>
      </w:rPr>
    </w:lvl>
    <w:lvl w:ilvl="1" w:tplc="385A639C" w:tentative="1">
      <w:start w:val="1"/>
      <w:numFmt w:val="bullet"/>
      <w:lvlText w:val="o"/>
      <w:lvlJc w:val="left"/>
      <w:pPr>
        <w:ind w:left="1440" w:hanging="360"/>
      </w:pPr>
      <w:rPr>
        <w:rFonts w:ascii="Courier New" w:hAnsi="Courier New" w:cs="Courier New" w:hint="default"/>
      </w:rPr>
    </w:lvl>
    <w:lvl w:ilvl="2" w:tplc="C0EC94D8" w:tentative="1">
      <w:start w:val="1"/>
      <w:numFmt w:val="bullet"/>
      <w:lvlText w:val=""/>
      <w:lvlJc w:val="left"/>
      <w:pPr>
        <w:ind w:left="2160" w:hanging="360"/>
      </w:pPr>
      <w:rPr>
        <w:rFonts w:ascii="Wingdings" w:hAnsi="Wingdings" w:hint="default"/>
      </w:rPr>
    </w:lvl>
    <w:lvl w:ilvl="3" w:tplc="B3681134" w:tentative="1">
      <w:start w:val="1"/>
      <w:numFmt w:val="bullet"/>
      <w:lvlText w:val=""/>
      <w:lvlJc w:val="left"/>
      <w:pPr>
        <w:ind w:left="2880" w:hanging="360"/>
      </w:pPr>
      <w:rPr>
        <w:rFonts w:ascii="Symbol" w:hAnsi="Symbol" w:hint="default"/>
      </w:rPr>
    </w:lvl>
    <w:lvl w:ilvl="4" w:tplc="75FA65D6" w:tentative="1">
      <w:start w:val="1"/>
      <w:numFmt w:val="bullet"/>
      <w:lvlText w:val="o"/>
      <w:lvlJc w:val="left"/>
      <w:pPr>
        <w:ind w:left="3600" w:hanging="360"/>
      </w:pPr>
      <w:rPr>
        <w:rFonts w:ascii="Courier New" w:hAnsi="Courier New" w:cs="Courier New" w:hint="default"/>
      </w:rPr>
    </w:lvl>
    <w:lvl w:ilvl="5" w:tplc="2B6ACCD6" w:tentative="1">
      <w:start w:val="1"/>
      <w:numFmt w:val="bullet"/>
      <w:lvlText w:val=""/>
      <w:lvlJc w:val="left"/>
      <w:pPr>
        <w:ind w:left="4320" w:hanging="360"/>
      </w:pPr>
      <w:rPr>
        <w:rFonts w:ascii="Wingdings" w:hAnsi="Wingdings" w:hint="default"/>
      </w:rPr>
    </w:lvl>
    <w:lvl w:ilvl="6" w:tplc="BB7E8286" w:tentative="1">
      <w:start w:val="1"/>
      <w:numFmt w:val="bullet"/>
      <w:lvlText w:val=""/>
      <w:lvlJc w:val="left"/>
      <w:pPr>
        <w:ind w:left="5040" w:hanging="360"/>
      </w:pPr>
      <w:rPr>
        <w:rFonts w:ascii="Symbol" w:hAnsi="Symbol" w:hint="default"/>
      </w:rPr>
    </w:lvl>
    <w:lvl w:ilvl="7" w:tplc="D2A00312" w:tentative="1">
      <w:start w:val="1"/>
      <w:numFmt w:val="bullet"/>
      <w:lvlText w:val="o"/>
      <w:lvlJc w:val="left"/>
      <w:pPr>
        <w:ind w:left="5760" w:hanging="360"/>
      </w:pPr>
      <w:rPr>
        <w:rFonts w:ascii="Courier New" w:hAnsi="Courier New" w:cs="Courier New" w:hint="default"/>
      </w:rPr>
    </w:lvl>
    <w:lvl w:ilvl="8" w:tplc="2D104602" w:tentative="1">
      <w:start w:val="1"/>
      <w:numFmt w:val="bullet"/>
      <w:lvlText w:val=""/>
      <w:lvlJc w:val="left"/>
      <w:pPr>
        <w:ind w:left="6480" w:hanging="360"/>
      </w:pPr>
      <w:rPr>
        <w:rFonts w:ascii="Wingdings" w:hAnsi="Wingdings" w:hint="default"/>
      </w:rPr>
    </w:lvl>
  </w:abstractNum>
  <w:abstractNum w:abstractNumId="31" w15:restartNumberingAfterBreak="0">
    <w:nsid w:val="5089630A"/>
    <w:multiLevelType w:val="hybridMultilevel"/>
    <w:tmpl w:val="325691BA"/>
    <w:lvl w:ilvl="0" w:tplc="284EBB2C">
      <w:start w:val="1"/>
      <w:numFmt w:val="bullet"/>
      <w:lvlText w:val=""/>
      <w:lvlJc w:val="left"/>
      <w:pPr>
        <w:ind w:left="502" w:hanging="360"/>
      </w:pPr>
      <w:rPr>
        <w:rFonts w:ascii="Symbol" w:hAnsi="Symbol" w:hint="default"/>
      </w:rPr>
    </w:lvl>
    <w:lvl w:ilvl="1" w:tplc="0FB4C16E" w:tentative="1">
      <w:start w:val="1"/>
      <w:numFmt w:val="bullet"/>
      <w:lvlText w:val="o"/>
      <w:lvlJc w:val="left"/>
      <w:pPr>
        <w:ind w:left="1222" w:hanging="360"/>
      </w:pPr>
      <w:rPr>
        <w:rFonts w:ascii="Courier New" w:hAnsi="Courier New" w:cs="Courier New" w:hint="default"/>
      </w:rPr>
    </w:lvl>
    <w:lvl w:ilvl="2" w:tplc="1D0841FA" w:tentative="1">
      <w:start w:val="1"/>
      <w:numFmt w:val="bullet"/>
      <w:lvlText w:val=""/>
      <w:lvlJc w:val="left"/>
      <w:pPr>
        <w:ind w:left="1942" w:hanging="360"/>
      </w:pPr>
      <w:rPr>
        <w:rFonts w:ascii="Wingdings" w:hAnsi="Wingdings" w:hint="default"/>
      </w:rPr>
    </w:lvl>
    <w:lvl w:ilvl="3" w:tplc="7A4C40FC" w:tentative="1">
      <w:start w:val="1"/>
      <w:numFmt w:val="bullet"/>
      <w:lvlText w:val=""/>
      <w:lvlJc w:val="left"/>
      <w:pPr>
        <w:ind w:left="2662" w:hanging="360"/>
      </w:pPr>
      <w:rPr>
        <w:rFonts w:ascii="Symbol" w:hAnsi="Symbol" w:hint="default"/>
      </w:rPr>
    </w:lvl>
    <w:lvl w:ilvl="4" w:tplc="5316C9D2" w:tentative="1">
      <w:start w:val="1"/>
      <w:numFmt w:val="bullet"/>
      <w:lvlText w:val="o"/>
      <w:lvlJc w:val="left"/>
      <w:pPr>
        <w:ind w:left="3382" w:hanging="360"/>
      </w:pPr>
      <w:rPr>
        <w:rFonts w:ascii="Courier New" w:hAnsi="Courier New" w:cs="Courier New" w:hint="default"/>
      </w:rPr>
    </w:lvl>
    <w:lvl w:ilvl="5" w:tplc="3C643504" w:tentative="1">
      <w:start w:val="1"/>
      <w:numFmt w:val="bullet"/>
      <w:lvlText w:val=""/>
      <w:lvlJc w:val="left"/>
      <w:pPr>
        <w:ind w:left="4102" w:hanging="360"/>
      </w:pPr>
      <w:rPr>
        <w:rFonts w:ascii="Wingdings" w:hAnsi="Wingdings" w:hint="default"/>
      </w:rPr>
    </w:lvl>
    <w:lvl w:ilvl="6" w:tplc="504E31DA" w:tentative="1">
      <w:start w:val="1"/>
      <w:numFmt w:val="bullet"/>
      <w:lvlText w:val=""/>
      <w:lvlJc w:val="left"/>
      <w:pPr>
        <w:ind w:left="4822" w:hanging="360"/>
      </w:pPr>
      <w:rPr>
        <w:rFonts w:ascii="Symbol" w:hAnsi="Symbol" w:hint="default"/>
      </w:rPr>
    </w:lvl>
    <w:lvl w:ilvl="7" w:tplc="CD52734A" w:tentative="1">
      <w:start w:val="1"/>
      <w:numFmt w:val="bullet"/>
      <w:lvlText w:val="o"/>
      <w:lvlJc w:val="left"/>
      <w:pPr>
        <w:ind w:left="5542" w:hanging="360"/>
      </w:pPr>
      <w:rPr>
        <w:rFonts w:ascii="Courier New" w:hAnsi="Courier New" w:cs="Courier New" w:hint="default"/>
      </w:rPr>
    </w:lvl>
    <w:lvl w:ilvl="8" w:tplc="5B7CFD7E" w:tentative="1">
      <w:start w:val="1"/>
      <w:numFmt w:val="bullet"/>
      <w:lvlText w:val=""/>
      <w:lvlJc w:val="left"/>
      <w:pPr>
        <w:ind w:left="6262" w:hanging="360"/>
      </w:pPr>
      <w:rPr>
        <w:rFonts w:ascii="Wingdings" w:hAnsi="Wingdings" w:hint="default"/>
      </w:rPr>
    </w:lvl>
  </w:abstractNum>
  <w:abstractNum w:abstractNumId="32" w15:restartNumberingAfterBreak="0">
    <w:nsid w:val="53DF5491"/>
    <w:multiLevelType w:val="hybridMultilevel"/>
    <w:tmpl w:val="48D2F91C"/>
    <w:lvl w:ilvl="0" w:tplc="045ED5A8">
      <w:start w:val="1"/>
      <w:numFmt w:val="bullet"/>
      <w:lvlText w:val=""/>
      <w:lvlJc w:val="left"/>
      <w:pPr>
        <w:ind w:left="502" w:hanging="360"/>
      </w:pPr>
      <w:rPr>
        <w:rFonts w:ascii="Symbol" w:hAnsi="Symbol" w:hint="default"/>
      </w:rPr>
    </w:lvl>
    <w:lvl w:ilvl="1" w:tplc="5012446A" w:tentative="1">
      <w:start w:val="1"/>
      <w:numFmt w:val="bullet"/>
      <w:lvlText w:val="o"/>
      <w:lvlJc w:val="left"/>
      <w:pPr>
        <w:ind w:left="1222" w:hanging="360"/>
      </w:pPr>
      <w:rPr>
        <w:rFonts w:ascii="Courier New" w:hAnsi="Courier New" w:cs="Courier New" w:hint="default"/>
      </w:rPr>
    </w:lvl>
    <w:lvl w:ilvl="2" w:tplc="E71833AE" w:tentative="1">
      <w:start w:val="1"/>
      <w:numFmt w:val="bullet"/>
      <w:lvlText w:val=""/>
      <w:lvlJc w:val="left"/>
      <w:pPr>
        <w:ind w:left="1942" w:hanging="360"/>
      </w:pPr>
      <w:rPr>
        <w:rFonts w:ascii="Wingdings" w:hAnsi="Wingdings" w:hint="default"/>
      </w:rPr>
    </w:lvl>
    <w:lvl w:ilvl="3" w:tplc="ECE001B8" w:tentative="1">
      <w:start w:val="1"/>
      <w:numFmt w:val="bullet"/>
      <w:lvlText w:val=""/>
      <w:lvlJc w:val="left"/>
      <w:pPr>
        <w:ind w:left="2662" w:hanging="360"/>
      </w:pPr>
      <w:rPr>
        <w:rFonts w:ascii="Symbol" w:hAnsi="Symbol" w:hint="default"/>
      </w:rPr>
    </w:lvl>
    <w:lvl w:ilvl="4" w:tplc="6218A462" w:tentative="1">
      <w:start w:val="1"/>
      <w:numFmt w:val="bullet"/>
      <w:lvlText w:val="o"/>
      <w:lvlJc w:val="left"/>
      <w:pPr>
        <w:ind w:left="3382" w:hanging="360"/>
      </w:pPr>
      <w:rPr>
        <w:rFonts w:ascii="Courier New" w:hAnsi="Courier New" w:cs="Courier New" w:hint="default"/>
      </w:rPr>
    </w:lvl>
    <w:lvl w:ilvl="5" w:tplc="B9C2BF0E" w:tentative="1">
      <w:start w:val="1"/>
      <w:numFmt w:val="bullet"/>
      <w:lvlText w:val=""/>
      <w:lvlJc w:val="left"/>
      <w:pPr>
        <w:ind w:left="4102" w:hanging="360"/>
      </w:pPr>
      <w:rPr>
        <w:rFonts w:ascii="Wingdings" w:hAnsi="Wingdings" w:hint="default"/>
      </w:rPr>
    </w:lvl>
    <w:lvl w:ilvl="6" w:tplc="ED04631E" w:tentative="1">
      <w:start w:val="1"/>
      <w:numFmt w:val="bullet"/>
      <w:lvlText w:val=""/>
      <w:lvlJc w:val="left"/>
      <w:pPr>
        <w:ind w:left="4822" w:hanging="360"/>
      </w:pPr>
      <w:rPr>
        <w:rFonts w:ascii="Symbol" w:hAnsi="Symbol" w:hint="default"/>
      </w:rPr>
    </w:lvl>
    <w:lvl w:ilvl="7" w:tplc="013A89BA" w:tentative="1">
      <w:start w:val="1"/>
      <w:numFmt w:val="bullet"/>
      <w:lvlText w:val="o"/>
      <w:lvlJc w:val="left"/>
      <w:pPr>
        <w:ind w:left="5542" w:hanging="360"/>
      </w:pPr>
      <w:rPr>
        <w:rFonts w:ascii="Courier New" w:hAnsi="Courier New" w:cs="Courier New" w:hint="default"/>
      </w:rPr>
    </w:lvl>
    <w:lvl w:ilvl="8" w:tplc="0DB43950" w:tentative="1">
      <w:start w:val="1"/>
      <w:numFmt w:val="bullet"/>
      <w:lvlText w:val=""/>
      <w:lvlJc w:val="left"/>
      <w:pPr>
        <w:ind w:left="6262" w:hanging="360"/>
      </w:pPr>
      <w:rPr>
        <w:rFonts w:ascii="Wingdings" w:hAnsi="Wingdings" w:hint="default"/>
      </w:rPr>
    </w:lvl>
  </w:abstractNum>
  <w:abstractNum w:abstractNumId="33" w15:restartNumberingAfterBreak="0">
    <w:nsid w:val="564E3D0E"/>
    <w:multiLevelType w:val="hybridMultilevel"/>
    <w:tmpl w:val="EE56084A"/>
    <w:lvl w:ilvl="0" w:tplc="53821DC6">
      <w:start w:val="1"/>
      <w:numFmt w:val="bullet"/>
      <w:lvlText w:val=""/>
      <w:lvlJc w:val="left"/>
      <w:pPr>
        <w:ind w:left="720" w:hanging="360"/>
      </w:pPr>
      <w:rPr>
        <w:rFonts w:ascii="Symbol" w:hAnsi="Symbol" w:hint="default"/>
      </w:rPr>
    </w:lvl>
    <w:lvl w:ilvl="1" w:tplc="800CD086" w:tentative="1">
      <w:start w:val="1"/>
      <w:numFmt w:val="bullet"/>
      <w:lvlText w:val="o"/>
      <w:lvlJc w:val="left"/>
      <w:pPr>
        <w:ind w:left="1440" w:hanging="360"/>
      </w:pPr>
      <w:rPr>
        <w:rFonts w:ascii="Courier New" w:hAnsi="Courier New" w:cs="Courier New" w:hint="default"/>
      </w:rPr>
    </w:lvl>
    <w:lvl w:ilvl="2" w:tplc="6532CD20" w:tentative="1">
      <w:start w:val="1"/>
      <w:numFmt w:val="bullet"/>
      <w:lvlText w:val=""/>
      <w:lvlJc w:val="left"/>
      <w:pPr>
        <w:ind w:left="2160" w:hanging="360"/>
      </w:pPr>
      <w:rPr>
        <w:rFonts w:ascii="Wingdings" w:hAnsi="Wingdings" w:hint="default"/>
      </w:rPr>
    </w:lvl>
    <w:lvl w:ilvl="3" w:tplc="E960B06E" w:tentative="1">
      <w:start w:val="1"/>
      <w:numFmt w:val="bullet"/>
      <w:lvlText w:val=""/>
      <w:lvlJc w:val="left"/>
      <w:pPr>
        <w:ind w:left="2880" w:hanging="360"/>
      </w:pPr>
      <w:rPr>
        <w:rFonts w:ascii="Symbol" w:hAnsi="Symbol" w:hint="default"/>
      </w:rPr>
    </w:lvl>
    <w:lvl w:ilvl="4" w:tplc="F9A009E0" w:tentative="1">
      <w:start w:val="1"/>
      <w:numFmt w:val="bullet"/>
      <w:lvlText w:val="o"/>
      <w:lvlJc w:val="left"/>
      <w:pPr>
        <w:ind w:left="3600" w:hanging="360"/>
      </w:pPr>
      <w:rPr>
        <w:rFonts w:ascii="Courier New" w:hAnsi="Courier New" w:cs="Courier New" w:hint="default"/>
      </w:rPr>
    </w:lvl>
    <w:lvl w:ilvl="5" w:tplc="2AA436CE" w:tentative="1">
      <w:start w:val="1"/>
      <w:numFmt w:val="bullet"/>
      <w:lvlText w:val=""/>
      <w:lvlJc w:val="left"/>
      <w:pPr>
        <w:ind w:left="4320" w:hanging="360"/>
      </w:pPr>
      <w:rPr>
        <w:rFonts w:ascii="Wingdings" w:hAnsi="Wingdings" w:hint="default"/>
      </w:rPr>
    </w:lvl>
    <w:lvl w:ilvl="6" w:tplc="05642142" w:tentative="1">
      <w:start w:val="1"/>
      <w:numFmt w:val="bullet"/>
      <w:lvlText w:val=""/>
      <w:lvlJc w:val="left"/>
      <w:pPr>
        <w:ind w:left="5040" w:hanging="360"/>
      </w:pPr>
      <w:rPr>
        <w:rFonts w:ascii="Symbol" w:hAnsi="Symbol" w:hint="default"/>
      </w:rPr>
    </w:lvl>
    <w:lvl w:ilvl="7" w:tplc="66A66570" w:tentative="1">
      <w:start w:val="1"/>
      <w:numFmt w:val="bullet"/>
      <w:lvlText w:val="o"/>
      <w:lvlJc w:val="left"/>
      <w:pPr>
        <w:ind w:left="5760" w:hanging="360"/>
      </w:pPr>
      <w:rPr>
        <w:rFonts w:ascii="Courier New" w:hAnsi="Courier New" w:cs="Courier New" w:hint="default"/>
      </w:rPr>
    </w:lvl>
    <w:lvl w:ilvl="8" w:tplc="FAC6000E" w:tentative="1">
      <w:start w:val="1"/>
      <w:numFmt w:val="bullet"/>
      <w:lvlText w:val=""/>
      <w:lvlJc w:val="left"/>
      <w:pPr>
        <w:ind w:left="6480" w:hanging="360"/>
      </w:pPr>
      <w:rPr>
        <w:rFonts w:ascii="Wingdings" w:hAnsi="Wingdings" w:hint="default"/>
      </w:rPr>
    </w:lvl>
  </w:abstractNum>
  <w:abstractNum w:abstractNumId="34" w15:restartNumberingAfterBreak="0">
    <w:nsid w:val="59724625"/>
    <w:multiLevelType w:val="hybridMultilevel"/>
    <w:tmpl w:val="5DD2CC70"/>
    <w:lvl w:ilvl="0" w:tplc="9FFC1100">
      <w:start w:val="1"/>
      <w:numFmt w:val="bullet"/>
      <w:lvlText w:val="o"/>
      <w:lvlJc w:val="left"/>
      <w:pPr>
        <w:ind w:left="2160" w:hanging="360"/>
      </w:pPr>
      <w:rPr>
        <w:rFonts w:ascii="Courier New" w:hAnsi="Courier New" w:cs="Courier New" w:hint="default"/>
      </w:rPr>
    </w:lvl>
    <w:lvl w:ilvl="1" w:tplc="7FA8AE54" w:tentative="1">
      <w:start w:val="1"/>
      <w:numFmt w:val="bullet"/>
      <w:lvlText w:val="o"/>
      <w:lvlJc w:val="left"/>
      <w:pPr>
        <w:ind w:left="2880" w:hanging="360"/>
      </w:pPr>
      <w:rPr>
        <w:rFonts w:ascii="Courier New" w:hAnsi="Courier New" w:cs="Courier New" w:hint="default"/>
      </w:rPr>
    </w:lvl>
    <w:lvl w:ilvl="2" w:tplc="71869116" w:tentative="1">
      <w:start w:val="1"/>
      <w:numFmt w:val="bullet"/>
      <w:lvlText w:val=""/>
      <w:lvlJc w:val="left"/>
      <w:pPr>
        <w:ind w:left="3600" w:hanging="360"/>
      </w:pPr>
      <w:rPr>
        <w:rFonts w:ascii="Wingdings" w:hAnsi="Wingdings" w:hint="default"/>
      </w:rPr>
    </w:lvl>
    <w:lvl w:ilvl="3" w:tplc="83085A10" w:tentative="1">
      <w:start w:val="1"/>
      <w:numFmt w:val="bullet"/>
      <w:lvlText w:val=""/>
      <w:lvlJc w:val="left"/>
      <w:pPr>
        <w:ind w:left="4320" w:hanging="360"/>
      </w:pPr>
      <w:rPr>
        <w:rFonts w:ascii="Symbol" w:hAnsi="Symbol" w:hint="default"/>
      </w:rPr>
    </w:lvl>
    <w:lvl w:ilvl="4" w:tplc="AD4A8946" w:tentative="1">
      <w:start w:val="1"/>
      <w:numFmt w:val="bullet"/>
      <w:lvlText w:val="o"/>
      <w:lvlJc w:val="left"/>
      <w:pPr>
        <w:ind w:left="5040" w:hanging="360"/>
      </w:pPr>
      <w:rPr>
        <w:rFonts w:ascii="Courier New" w:hAnsi="Courier New" w:cs="Courier New" w:hint="default"/>
      </w:rPr>
    </w:lvl>
    <w:lvl w:ilvl="5" w:tplc="BFC0CEF2" w:tentative="1">
      <w:start w:val="1"/>
      <w:numFmt w:val="bullet"/>
      <w:lvlText w:val=""/>
      <w:lvlJc w:val="left"/>
      <w:pPr>
        <w:ind w:left="5760" w:hanging="360"/>
      </w:pPr>
      <w:rPr>
        <w:rFonts w:ascii="Wingdings" w:hAnsi="Wingdings" w:hint="default"/>
      </w:rPr>
    </w:lvl>
    <w:lvl w:ilvl="6" w:tplc="A99C402C" w:tentative="1">
      <w:start w:val="1"/>
      <w:numFmt w:val="bullet"/>
      <w:lvlText w:val=""/>
      <w:lvlJc w:val="left"/>
      <w:pPr>
        <w:ind w:left="6480" w:hanging="360"/>
      </w:pPr>
      <w:rPr>
        <w:rFonts w:ascii="Symbol" w:hAnsi="Symbol" w:hint="default"/>
      </w:rPr>
    </w:lvl>
    <w:lvl w:ilvl="7" w:tplc="29B2F03E" w:tentative="1">
      <w:start w:val="1"/>
      <w:numFmt w:val="bullet"/>
      <w:lvlText w:val="o"/>
      <w:lvlJc w:val="left"/>
      <w:pPr>
        <w:ind w:left="7200" w:hanging="360"/>
      </w:pPr>
      <w:rPr>
        <w:rFonts w:ascii="Courier New" w:hAnsi="Courier New" w:cs="Courier New" w:hint="default"/>
      </w:rPr>
    </w:lvl>
    <w:lvl w:ilvl="8" w:tplc="398C0E50" w:tentative="1">
      <w:start w:val="1"/>
      <w:numFmt w:val="bullet"/>
      <w:lvlText w:val=""/>
      <w:lvlJc w:val="left"/>
      <w:pPr>
        <w:ind w:left="7920" w:hanging="360"/>
      </w:pPr>
      <w:rPr>
        <w:rFonts w:ascii="Wingdings" w:hAnsi="Wingdings" w:hint="default"/>
      </w:rPr>
    </w:lvl>
  </w:abstractNum>
  <w:abstractNum w:abstractNumId="35" w15:restartNumberingAfterBreak="0">
    <w:nsid w:val="63C374F1"/>
    <w:multiLevelType w:val="hybridMultilevel"/>
    <w:tmpl w:val="A782BDFC"/>
    <w:lvl w:ilvl="0" w:tplc="A52E66CA">
      <w:start w:val="1"/>
      <w:numFmt w:val="bullet"/>
      <w:lvlText w:val=""/>
      <w:lvlJc w:val="left"/>
      <w:pPr>
        <w:ind w:left="502" w:hanging="360"/>
      </w:pPr>
      <w:rPr>
        <w:rFonts w:ascii="Symbol" w:hAnsi="Symbol" w:hint="default"/>
      </w:rPr>
    </w:lvl>
    <w:lvl w:ilvl="1" w:tplc="BD90F7CE">
      <w:numFmt w:val="bullet"/>
      <w:lvlText w:val="•"/>
      <w:lvlJc w:val="left"/>
      <w:pPr>
        <w:ind w:left="1440" w:hanging="360"/>
      </w:pPr>
      <w:rPr>
        <w:rFonts w:ascii="Arial" w:eastAsia="Calibri" w:hAnsi="Arial" w:cs="Arial" w:hint="default"/>
      </w:rPr>
    </w:lvl>
    <w:lvl w:ilvl="2" w:tplc="31BC77FC" w:tentative="1">
      <w:start w:val="1"/>
      <w:numFmt w:val="bullet"/>
      <w:lvlText w:val=""/>
      <w:lvlJc w:val="left"/>
      <w:pPr>
        <w:ind w:left="2160" w:hanging="360"/>
      </w:pPr>
      <w:rPr>
        <w:rFonts w:ascii="Wingdings" w:hAnsi="Wingdings" w:hint="default"/>
      </w:rPr>
    </w:lvl>
    <w:lvl w:ilvl="3" w:tplc="7584C67A" w:tentative="1">
      <w:start w:val="1"/>
      <w:numFmt w:val="bullet"/>
      <w:lvlText w:val=""/>
      <w:lvlJc w:val="left"/>
      <w:pPr>
        <w:ind w:left="2880" w:hanging="360"/>
      </w:pPr>
      <w:rPr>
        <w:rFonts w:ascii="Symbol" w:hAnsi="Symbol" w:hint="default"/>
      </w:rPr>
    </w:lvl>
    <w:lvl w:ilvl="4" w:tplc="EE387B5E" w:tentative="1">
      <w:start w:val="1"/>
      <w:numFmt w:val="bullet"/>
      <w:lvlText w:val="o"/>
      <w:lvlJc w:val="left"/>
      <w:pPr>
        <w:ind w:left="3600" w:hanging="360"/>
      </w:pPr>
      <w:rPr>
        <w:rFonts w:ascii="Courier New" w:hAnsi="Courier New" w:cs="Courier New" w:hint="default"/>
      </w:rPr>
    </w:lvl>
    <w:lvl w:ilvl="5" w:tplc="40043D26" w:tentative="1">
      <w:start w:val="1"/>
      <w:numFmt w:val="bullet"/>
      <w:lvlText w:val=""/>
      <w:lvlJc w:val="left"/>
      <w:pPr>
        <w:ind w:left="4320" w:hanging="360"/>
      </w:pPr>
      <w:rPr>
        <w:rFonts w:ascii="Wingdings" w:hAnsi="Wingdings" w:hint="default"/>
      </w:rPr>
    </w:lvl>
    <w:lvl w:ilvl="6" w:tplc="2DC8BBE4" w:tentative="1">
      <w:start w:val="1"/>
      <w:numFmt w:val="bullet"/>
      <w:lvlText w:val=""/>
      <w:lvlJc w:val="left"/>
      <w:pPr>
        <w:ind w:left="5040" w:hanging="360"/>
      </w:pPr>
      <w:rPr>
        <w:rFonts w:ascii="Symbol" w:hAnsi="Symbol" w:hint="default"/>
      </w:rPr>
    </w:lvl>
    <w:lvl w:ilvl="7" w:tplc="95D8F6A4" w:tentative="1">
      <w:start w:val="1"/>
      <w:numFmt w:val="bullet"/>
      <w:lvlText w:val="o"/>
      <w:lvlJc w:val="left"/>
      <w:pPr>
        <w:ind w:left="5760" w:hanging="360"/>
      </w:pPr>
      <w:rPr>
        <w:rFonts w:ascii="Courier New" w:hAnsi="Courier New" w:cs="Courier New" w:hint="default"/>
      </w:rPr>
    </w:lvl>
    <w:lvl w:ilvl="8" w:tplc="AB649B12" w:tentative="1">
      <w:start w:val="1"/>
      <w:numFmt w:val="bullet"/>
      <w:lvlText w:val=""/>
      <w:lvlJc w:val="left"/>
      <w:pPr>
        <w:ind w:left="6480" w:hanging="360"/>
      </w:pPr>
      <w:rPr>
        <w:rFonts w:ascii="Wingdings" w:hAnsi="Wingdings" w:hint="default"/>
      </w:rPr>
    </w:lvl>
  </w:abstractNum>
  <w:abstractNum w:abstractNumId="36" w15:restartNumberingAfterBreak="0">
    <w:nsid w:val="63F759CD"/>
    <w:multiLevelType w:val="hybridMultilevel"/>
    <w:tmpl w:val="6FF22088"/>
    <w:lvl w:ilvl="0" w:tplc="47E0D190">
      <w:start w:val="1"/>
      <w:numFmt w:val="decimal"/>
      <w:pStyle w:val="Heading4"/>
      <w:lvlText w:val="%1."/>
      <w:lvlJc w:val="left"/>
      <w:pPr>
        <w:ind w:left="360" w:hanging="360"/>
      </w:pPr>
    </w:lvl>
    <w:lvl w:ilvl="1" w:tplc="1CF06616" w:tentative="1">
      <w:start w:val="1"/>
      <w:numFmt w:val="lowerLetter"/>
      <w:lvlText w:val="%2."/>
      <w:lvlJc w:val="left"/>
      <w:pPr>
        <w:ind w:left="1080" w:hanging="360"/>
      </w:pPr>
    </w:lvl>
    <w:lvl w:ilvl="2" w:tplc="D46EFABC" w:tentative="1">
      <w:start w:val="1"/>
      <w:numFmt w:val="lowerRoman"/>
      <w:lvlText w:val="%3."/>
      <w:lvlJc w:val="right"/>
      <w:pPr>
        <w:ind w:left="1800" w:hanging="180"/>
      </w:pPr>
    </w:lvl>
    <w:lvl w:ilvl="3" w:tplc="A0B609BA" w:tentative="1">
      <w:start w:val="1"/>
      <w:numFmt w:val="decimal"/>
      <w:lvlText w:val="%4."/>
      <w:lvlJc w:val="left"/>
      <w:pPr>
        <w:ind w:left="2520" w:hanging="360"/>
      </w:pPr>
    </w:lvl>
    <w:lvl w:ilvl="4" w:tplc="73A0590C" w:tentative="1">
      <w:start w:val="1"/>
      <w:numFmt w:val="lowerLetter"/>
      <w:lvlText w:val="%5."/>
      <w:lvlJc w:val="left"/>
      <w:pPr>
        <w:ind w:left="3240" w:hanging="360"/>
      </w:pPr>
    </w:lvl>
    <w:lvl w:ilvl="5" w:tplc="8DCA23FA" w:tentative="1">
      <w:start w:val="1"/>
      <w:numFmt w:val="lowerRoman"/>
      <w:lvlText w:val="%6."/>
      <w:lvlJc w:val="right"/>
      <w:pPr>
        <w:ind w:left="3960" w:hanging="180"/>
      </w:pPr>
    </w:lvl>
    <w:lvl w:ilvl="6" w:tplc="833E75EA" w:tentative="1">
      <w:start w:val="1"/>
      <w:numFmt w:val="decimal"/>
      <w:lvlText w:val="%7."/>
      <w:lvlJc w:val="left"/>
      <w:pPr>
        <w:ind w:left="4680" w:hanging="360"/>
      </w:pPr>
    </w:lvl>
    <w:lvl w:ilvl="7" w:tplc="F6408E1C" w:tentative="1">
      <w:start w:val="1"/>
      <w:numFmt w:val="lowerLetter"/>
      <w:lvlText w:val="%8."/>
      <w:lvlJc w:val="left"/>
      <w:pPr>
        <w:ind w:left="5400" w:hanging="360"/>
      </w:pPr>
    </w:lvl>
    <w:lvl w:ilvl="8" w:tplc="4DE4A7D0" w:tentative="1">
      <w:start w:val="1"/>
      <w:numFmt w:val="lowerRoman"/>
      <w:lvlText w:val="%9."/>
      <w:lvlJc w:val="right"/>
      <w:pPr>
        <w:ind w:left="6120" w:hanging="180"/>
      </w:pPr>
    </w:lvl>
  </w:abstractNum>
  <w:abstractNum w:abstractNumId="37" w15:restartNumberingAfterBreak="0">
    <w:nsid w:val="6BFC7B04"/>
    <w:multiLevelType w:val="hybridMultilevel"/>
    <w:tmpl w:val="C9F452C8"/>
    <w:lvl w:ilvl="0" w:tplc="A638420E">
      <w:start w:val="1"/>
      <w:numFmt w:val="decimal"/>
      <w:lvlText w:val="%1."/>
      <w:lvlJc w:val="left"/>
      <w:pPr>
        <w:ind w:left="930" w:hanging="570"/>
      </w:pPr>
      <w:rPr>
        <w:rFonts w:hint="default"/>
      </w:rPr>
    </w:lvl>
    <w:lvl w:ilvl="1" w:tplc="8A1E2C3A">
      <w:start w:val="1"/>
      <w:numFmt w:val="lowerLetter"/>
      <w:lvlText w:val="%2."/>
      <w:lvlJc w:val="left"/>
      <w:pPr>
        <w:ind w:left="1440" w:hanging="360"/>
      </w:pPr>
    </w:lvl>
    <w:lvl w:ilvl="2" w:tplc="F266C9FE" w:tentative="1">
      <w:start w:val="1"/>
      <w:numFmt w:val="lowerRoman"/>
      <w:lvlText w:val="%3."/>
      <w:lvlJc w:val="right"/>
      <w:pPr>
        <w:ind w:left="2160" w:hanging="180"/>
      </w:pPr>
    </w:lvl>
    <w:lvl w:ilvl="3" w:tplc="BC1C0042" w:tentative="1">
      <w:start w:val="1"/>
      <w:numFmt w:val="decimal"/>
      <w:lvlText w:val="%4."/>
      <w:lvlJc w:val="left"/>
      <w:pPr>
        <w:ind w:left="2880" w:hanging="360"/>
      </w:pPr>
    </w:lvl>
    <w:lvl w:ilvl="4" w:tplc="306A9854" w:tentative="1">
      <w:start w:val="1"/>
      <w:numFmt w:val="lowerLetter"/>
      <w:lvlText w:val="%5."/>
      <w:lvlJc w:val="left"/>
      <w:pPr>
        <w:ind w:left="3600" w:hanging="360"/>
      </w:pPr>
    </w:lvl>
    <w:lvl w:ilvl="5" w:tplc="48CABB18" w:tentative="1">
      <w:start w:val="1"/>
      <w:numFmt w:val="lowerRoman"/>
      <w:lvlText w:val="%6."/>
      <w:lvlJc w:val="right"/>
      <w:pPr>
        <w:ind w:left="4320" w:hanging="180"/>
      </w:pPr>
    </w:lvl>
    <w:lvl w:ilvl="6" w:tplc="23B08F46" w:tentative="1">
      <w:start w:val="1"/>
      <w:numFmt w:val="decimal"/>
      <w:lvlText w:val="%7."/>
      <w:lvlJc w:val="left"/>
      <w:pPr>
        <w:ind w:left="5040" w:hanging="360"/>
      </w:pPr>
    </w:lvl>
    <w:lvl w:ilvl="7" w:tplc="F2DA241C" w:tentative="1">
      <w:start w:val="1"/>
      <w:numFmt w:val="lowerLetter"/>
      <w:lvlText w:val="%8."/>
      <w:lvlJc w:val="left"/>
      <w:pPr>
        <w:ind w:left="5760" w:hanging="360"/>
      </w:pPr>
    </w:lvl>
    <w:lvl w:ilvl="8" w:tplc="8ED04A9E" w:tentative="1">
      <w:start w:val="1"/>
      <w:numFmt w:val="lowerRoman"/>
      <w:lvlText w:val="%9."/>
      <w:lvlJc w:val="right"/>
      <w:pPr>
        <w:ind w:left="6480" w:hanging="180"/>
      </w:pPr>
    </w:lvl>
  </w:abstractNum>
  <w:abstractNum w:abstractNumId="38" w15:restartNumberingAfterBreak="0">
    <w:nsid w:val="712C6B77"/>
    <w:multiLevelType w:val="hybridMultilevel"/>
    <w:tmpl w:val="808278F0"/>
    <w:lvl w:ilvl="0" w:tplc="71B48FBE">
      <w:start w:val="1"/>
      <w:numFmt w:val="decimal"/>
      <w:pStyle w:val="Heading3-numbered"/>
      <w:lvlText w:val="%1."/>
      <w:lvlJc w:val="left"/>
      <w:pPr>
        <w:ind w:left="360" w:hanging="360"/>
      </w:pPr>
      <w:rPr>
        <w:b/>
        <w:i w:val="0"/>
        <w:color w:val="auto"/>
        <w:sz w:val="28"/>
        <w:szCs w:val="28"/>
      </w:rPr>
    </w:lvl>
    <w:lvl w:ilvl="1" w:tplc="F24015A8" w:tentative="1">
      <w:start w:val="1"/>
      <w:numFmt w:val="lowerLetter"/>
      <w:lvlText w:val="%2."/>
      <w:lvlJc w:val="left"/>
      <w:pPr>
        <w:ind w:left="1080" w:hanging="360"/>
      </w:pPr>
    </w:lvl>
    <w:lvl w:ilvl="2" w:tplc="25629044" w:tentative="1">
      <w:start w:val="1"/>
      <w:numFmt w:val="lowerRoman"/>
      <w:lvlText w:val="%3."/>
      <w:lvlJc w:val="right"/>
      <w:pPr>
        <w:ind w:left="1800" w:hanging="180"/>
      </w:pPr>
    </w:lvl>
    <w:lvl w:ilvl="3" w:tplc="02200188" w:tentative="1">
      <w:start w:val="1"/>
      <w:numFmt w:val="decimal"/>
      <w:lvlText w:val="%4."/>
      <w:lvlJc w:val="left"/>
      <w:pPr>
        <w:ind w:left="2520" w:hanging="360"/>
      </w:pPr>
    </w:lvl>
    <w:lvl w:ilvl="4" w:tplc="3F0C3576" w:tentative="1">
      <w:start w:val="1"/>
      <w:numFmt w:val="lowerLetter"/>
      <w:lvlText w:val="%5."/>
      <w:lvlJc w:val="left"/>
      <w:pPr>
        <w:ind w:left="3240" w:hanging="360"/>
      </w:pPr>
    </w:lvl>
    <w:lvl w:ilvl="5" w:tplc="7D2C9B54" w:tentative="1">
      <w:start w:val="1"/>
      <w:numFmt w:val="lowerRoman"/>
      <w:lvlText w:val="%6."/>
      <w:lvlJc w:val="right"/>
      <w:pPr>
        <w:ind w:left="3960" w:hanging="180"/>
      </w:pPr>
    </w:lvl>
    <w:lvl w:ilvl="6" w:tplc="673A8A12" w:tentative="1">
      <w:start w:val="1"/>
      <w:numFmt w:val="decimal"/>
      <w:lvlText w:val="%7."/>
      <w:lvlJc w:val="left"/>
      <w:pPr>
        <w:ind w:left="4680" w:hanging="360"/>
      </w:pPr>
    </w:lvl>
    <w:lvl w:ilvl="7" w:tplc="5B02F632" w:tentative="1">
      <w:start w:val="1"/>
      <w:numFmt w:val="lowerLetter"/>
      <w:lvlText w:val="%8."/>
      <w:lvlJc w:val="left"/>
      <w:pPr>
        <w:ind w:left="5400" w:hanging="360"/>
      </w:pPr>
    </w:lvl>
    <w:lvl w:ilvl="8" w:tplc="9216BC16" w:tentative="1">
      <w:start w:val="1"/>
      <w:numFmt w:val="lowerRoman"/>
      <w:lvlText w:val="%9."/>
      <w:lvlJc w:val="right"/>
      <w:pPr>
        <w:ind w:left="6120" w:hanging="180"/>
      </w:pPr>
    </w:lvl>
  </w:abstractNum>
  <w:num w:numId="1">
    <w:abstractNumId w:val="24"/>
  </w:num>
  <w:num w:numId="2">
    <w:abstractNumId w:val="29"/>
  </w:num>
  <w:num w:numId="3">
    <w:abstractNumId w:val="38"/>
  </w:num>
  <w:num w:numId="4">
    <w:abstractNumId w:val="36"/>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7"/>
  </w:num>
  <w:num w:numId="26">
    <w:abstractNumId w:val="35"/>
  </w:num>
  <w:num w:numId="27">
    <w:abstractNumId w:val="25"/>
  </w:num>
  <w:num w:numId="28">
    <w:abstractNumId w:val="30"/>
  </w:num>
  <w:num w:numId="29">
    <w:abstractNumId w:val="28"/>
  </w:num>
  <w:num w:numId="30">
    <w:abstractNumId w:val="31"/>
  </w:num>
  <w:num w:numId="31">
    <w:abstractNumId w:val="20"/>
  </w:num>
  <w:num w:numId="32">
    <w:abstractNumId w:val="33"/>
  </w:num>
  <w:num w:numId="33">
    <w:abstractNumId w:val="34"/>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2"/>
  </w:num>
  <w:num w:numId="40">
    <w:abstractNumId w:val="27"/>
  </w:num>
  <w:num w:numId="41">
    <w:abstractNumId w:val="2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25F"/>
    <w:rsid w:val="000D425A"/>
    <w:rsid w:val="001F4E9D"/>
    <w:rsid w:val="004873BE"/>
    <w:rsid w:val="009E0214"/>
    <w:rsid w:val="00A274B4"/>
    <w:rsid w:val="00A445D6"/>
    <w:rsid w:val="00A912BD"/>
    <w:rsid w:val="00F002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8B350-FBD9-4E33-92FD-A6A64F3D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026CB1"/>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customStyle="1" w:styleId="NoteHeading1">
    <w:name w:val="Note Heading1"/>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1"/>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99"/>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1D5EDA"/>
    <w:pPr>
      <w:spacing w:line="241" w:lineRule="atLeast"/>
    </w:pPr>
    <w:rPr>
      <w:rFonts w:ascii="Arial Narrow" w:hAnsi="Arial Narrow" w:cstheme="minorBidi"/>
      <w:color w:val="auto"/>
    </w:rPr>
  </w:style>
  <w:style w:type="paragraph" w:customStyle="1" w:styleId="ParaAttribute2">
    <w:name w:val="ParaAttribute2"/>
    <w:rsid w:val="00882976"/>
    <w:pPr>
      <w:wordWrap w:val="0"/>
      <w:spacing w:after="160"/>
    </w:pPr>
    <w:rPr>
      <w:rFonts w:ascii="Times New Roman" w:eastAsia="Batang" w:hAnsi="Times New Roman"/>
    </w:rPr>
  </w:style>
  <w:style w:type="paragraph" w:customStyle="1" w:styleId="ParaAttribute3">
    <w:name w:val="ParaAttribute3"/>
    <w:rsid w:val="00882976"/>
    <w:pPr>
      <w:wordWrap w:val="0"/>
      <w:spacing w:after="160"/>
    </w:pPr>
    <w:rPr>
      <w:rFonts w:ascii="Times New Roman" w:eastAsia="Batang" w:hAnsi="Times New Roman"/>
    </w:rPr>
  </w:style>
  <w:style w:type="paragraph" w:customStyle="1" w:styleId="ParaAttribute7">
    <w:name w:val="ParaAttribute7"/>
    <w:rsid w:val="00882976"/>
    <w:pPr>
      <w:wordWrap w:val="0"/>
      <w:jc w:val="both"/>
    </w:pPr>
    <w:rPr>
      <w:rFonts w:ascii="Times New Roman" w:eastAsia="Batang" w:hAnsi="Times New Roman"/>
    </w:rPr>
  </w:style>
  <w:style w:type="paragraph" w:customStyle="1" w:styleId="ParaAttribute9">
    <w:name w:val="ParaAttribute9"/>
    <w:rsid w:val="00882976"/>
    <w:pPr>
      <w:wordWrap w:val="0"/>
      <w:spacing w:after="200"/>
      <w:jc w:val="both"/>
    </w:pPr>
    <w:rPr>
      <w:rFonts w:ascii="Times New Roman" w:eastAsia="Batang" w:hAnsi="Times New Roman"/>
    </w:rPr>
  </w:style>
  <w:style w:type="character" w:customStyle="1" w:styleId="CharAttribute1">
    <w:name w:val="CharAttribute1"/>
    <w:rsid w:val="00882976"/>
    <w:rPr>
      <w:rFonts w:ascii="Calibri" w:eastAsia="Calibri"/>
      <w:b/>
      <w:sz w:val="24"/>
      <w:u w:val="single"/>
    </w:rPr>
  </w:style>
  <w:style w:type="character" w:customStyle="1" w:styleId="CharAttribute9">
    <w:name w:val="CharAttribute9"/>
    <w:rsid w:val="00882976"/>
    <w:rPr>
      <w:rFonts w:ascii="Calibri" w:eastAsia="Calibri"/>
      <w:i/>
      <w:sz w:val="22"/>
    </w:rPr>
  </w:style>
  <w:style w:type="character" w:customStyle="1" w:styleId="CharAttribute14">
    <w:name w:val="CharAttribute14"/>
    <w:rsid w:val="00882976"/>
    <w:rPr>
      <w:rFonts w:ascii="Arial" w:eastAsia="Arial"/>
      <w:sz w:val="24"/>
    </w:rPr>
  </w:style>
  <w:style w:type="character" w:customStyle="1" w:styleId="CharAttribute16">
    <w:name w:val="CharAttribute16"/>
    <w:rsid w:val="00882976"/>
    <w:rPr>
      <w:rFonts w:ascii="Arial" w:eastAsia="Arial"/>
      <w:i/>
      <w:sz w:val="24"/>
    </w:rPr>
  </w:style>
  <w:style w:type="table" w:customStyle="1" w:styleId="TableGrid9">
    <w:name w:val="Table Grid9"/>
    <w:basedOn w:val="TableNormal"/>
    <w:next w:val="TableGrid"/>
    <w:uiPriority w:val="39"/>
    <w:rsid w:val="00083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23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E7F7-5586-4DC3-A97F-0DACD0DD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1618</TotalTime>
  <Pages>20</Pages>
  <Words>4836</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Gorman, Dave</cp:lastModifiedBy>
  <cp:revision>49</cp:revision>
  <cp:lastPrinted>2019-01-09T17:08:00Z</cp:lastPrinted>
  <dcterms:created xsi:type="dcterms:W3CDTF">2018-11-29T13:29:00Z</dcterms:created>
  <dcterms:modified xsi:type="dcterms:W3CDTF">2019-01-30T14:43:00Z</dcterms:modified>
</cp:coreProperties>
</file>